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A42453">
      <w:pPr>
        <w:spacing w:line="560" w:lineRule="exact"/>
        <w:jc w:val="center"/>
        <w:rPr>
          <w:rFonts w:ascii="Times New Roman" w:hAnsi="Times New Roman" w:eastAsia="方正小标宋简体" w:cs="Times New Roman"/>
          <w:sz w:val="36"/>
          <w:szCs w:val="44"/>
        </w:rPr>
      </w:pPr>
    </w:p>
    <w:p w14:paraId="1E32DF0A">
      <w:pPr>
        <w:spacing w:line="560" w:lineRule="exact"/>
        <w:jc w:val="center"/>
        <w:rPr>
          <w:rFonts w:ascii="Times New Roman" w:hAnsi="Times New Roman" w:eastAsia="方正小标宋简体" w:cs="Times New Roman"/>
          <w:sz w:val="36"/>
          <w:szCs w:val="44"/>
        </w:rPr>
      </w:pPr>
      <w:bookmarkStart w:id="0" w:name="_GoBack"/>
      <w:r>
        <w:rPr>
          <w:rFonts w:ascii="Times New Roman" w:hAnsi="Times New Roman" w:eastAsia="方正小标宋简体" w:cs="Times New Roman"/>
          <w:sz w:val="36"/>
          <w:szCs w:val="44"/>
        </w:rPr>
        <w:t>能源行业标准</w:t>
      </w:r>
      <w:r>
        <w:rPr>
          <w:rFonts w:hint="eastAsia" w:ascii="Times New Roman" w:hAnsi="Times New Roman" w:eastAsia="方正小标宋简体" w:cs="Times New Roman"/>
          <w:sz w:val="36"/>
          <w:szCs w:val="44"/>
        </w:rPr>
        <w:t>制修订</w:t>
      </w:r>
      <w:r>
        <w:rPr>
          <w:rFonts w:ascii="Times New Roman" w:hAnsi="Times New Roman" w:eastAsia="方正小标宋简体" w:cs="Times New Roman"/>
          <w:sz w:val="36"/>
          <w:szCs w:val="44"/>
        </w:rPr>
        <w:t>重点项目清单</w:t>
      </w:r>
      <w:bookmarkEnd w:id="0"/>
      <w:r>
        <w:rPr>
          <w:rFonts w:hint="eastAsia" w:ascii="Times New Roman" w:hAnsi="Times New Roman" w:eastAsia="方正小标宋简体" w:cs="Times New Roman"/>
          <w:sz w:val="36"/>
          <w:szCs w:val="44"/>
        </w:rPr>
        <w:t>（模板）</w:t>
      </w:r>
    </w:p>
    <w:p w14:paraId="693CD38A">
      <w:pPr>
        <w:spacing w:line="560" w:lineRule="exact"/>
        <w:jc w:val="center"/>
        <w:rPr>
          <w:rFonts w:ascii="Times New Roman" w:hAnsi="Times New Roman" w:eastAsia="方正楷体_GBK" w:cs="Times New Roman"/>
          <w:sz w:val="28"/>
          <w:szCs w:val="36"/>
        </w:rPr>
      </w:pPr>
      <w:r>
        <w:rPr>
          <w:rFonts w:ascii="Times New Roman" w:hAnsi="Times New Roman" w:eastAsia="方正楷体_GBK" w:cs="Times New Roman"/>
          <w:sz w:val="28"/>
          <w:szCs w:val="36"/>
        </w:rPr>
        <w:t>（202</w:t>
      </w:r>
      <w:r>
        <w:rPr>
          <w:rFonts w:hint="eastAsia" w:ascii="Times New Roman" w:hAnsi="Times New Roman" w:eastAsia="方正楷体_GBK" w:cs="Times New Roman"/>
          <w:sz w:val="28"/>
          <w:szCs w:val="36"/>
          <w:lang w:val="en-US" w:eastAsia="zh-CN"/>
        </w:rPr>
        <w:t>6</w:t>
      </w:r>
      <w:r>
        <w:rPr>
          <w:rFonts w:ascii="Times New Roman" w:hAnsi="Times New Roman" w:eastAsia="方正楷体_GBK" w:cs="Times New Roman"/>
          <w:sz w:val="28"/>
          <w:szCs w:val="36"/>
        </w:rPr>
        <w:t>年</w:t>
      </w:r>
      <w:r>
        <w:rPr>
          <w:rFonts w:hint="eastAsia" w:ascii="Times New Roman" w:hAnsi="Times New Roman" w:eastAsia="方正楷体_GBK" w:cs="Times New Roman"/>
          <w:sz w:val="28"/>
          <w:szCs w:val="36"/>
          <w:lang w:val="en-US" w:eastAsia="zh-CN"/>
        </w:rPr>
        <w:t>X</w:t>
      </w:r>
      <w:r>
        <w:rPr>
          <w:rFonts w:ascii="Times New Roman" w:hAnsi="Times New Roman" w:eastAsia="方正楷体_GBK" w:cs="Times New Roman"/>
          <w:sz w:val="28"/>
          <w:szCs w:val="36"/>
        </w:rPr>
        <w:t>季度报批）</w:t>
      </w:r>
    </w:p>
    <w:p w14:paraId="7951B54F">
      <w:pPr>
        <w:pStyle w:val="2"/>
        <w:ind w:firstLine="210"/>
      </w:pPr>
    </w:p>
    <w:tbl>
      <w:tblPr>
        <w:tblStyle w:val="7"/>
        <w:tblW w:w="477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6"/>
        <w:gridCol w:w="1618"/>
        <w:gridCol w:w="2054"/>
        <w:gridCol w:w="1469"/>
        <w:gridCol w:w="928"/>
        <w:gridCol w:w="4518"/>
        <w:gridCol w:w="2206"/>
      </w:tblGrid>
      <w:tr w14:paraId="6553DC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293" w:type="pct"/>
            <w:vAlign w:val="center"/>
          </w:tcPr>
          <w:p w14:paraId="2BA4CC9B">
            <w:pPr>
              <w:spacing w:line="320" w:lineRule="exact"/>
              <w:jc w:val="center"/>
              <w:rPr>
                <w:rFonts w:ascii="Times New Roman" w:hAnsi="Times New Roman" w:eastAsia="方正黑体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z w:val="28"/>
                <w:szCs w:val="28"/>
              </w:rPr>
              <w:t>序号</w:t>
            </w:r>
          </w:p>
        </w:tc>
        <w:tc>
          <w:tcPr>
            <w:tcW w:w="595" w:type="pct"/>
            <w:vAlign w:val="center"/>
          </w:tcPr>
          <w:p w14:paraId="050D31D2">
            <w:pPr>
              <w:spacing w:line="320" w:lineRule="exact"/>
              <w:jc w:val="center"/>
              <w:rPr>
                <w:rFonts w:ascii="Times New Roman" w:hAnsi="Times New Roman" w:eastAsia="方正黑体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z w:val="28"/>
                <w:szCs w:val="28"/>
              </w:rPr>
              <w:t>标准名称</w:t>
            </w:r>
          </w:p>
        </w:tc>
        <w:tc>
          <w:tcPr>
            <w:tcW w:w="755" w:type="pct"/>
            <w:vAlign w:val="center"/>
          </w:tcPr>
          <w:p w14:paraId="65906FFF">
            <w:pPr>
              <w:spacing w:line="320" w:lineRule="exact"/>
              <w:jc w:val="center"/>
              <w:rPr>
                <w:rFonts w:ascii="Times New Roman" w:hAnsi="Times New Roman" w:eastAsia="方正黑体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z w:val="28"/>
                <w:szCs w:val="28"/>
              </w:rPr>
              <w:t>重点标准类型</w:t>
            </w:r>
            <w:r>
              <w:rPr>
                <w:rFonts w:ascii="Times New Roman" w:hAnsi="Times New Roman" w:eastAsia="方正黑体_GBK" w:cs="Times New Roman"/>
                <w:sz w:val="28"/>
                <w:szCs w:val="28"/>
                <w:vertAlign w:val="superscript"/>
              </w:rPr>
              <w:t>*</w:t>
            </w:r>
          </w:p>
        </w:tc>
        <w:tc>
          <w:tcPr>
            <w:tcW w:w="540" w:type="pct"/>
            <w:vAlign w:val="center"/>
          </w:tcPr>
          <w:p w14:paraId="6609C733">
            <w:pPr>
              <w:spacing w:line="320" w:lineRule="exact"/>
              <w:jc w:val="center"/>
              <w:rPr>
                <w:rFonts w:ascii="Times New Roman" w:hAnsi="Times New Roman" w:eastAsia="方正黑体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sz w:val="28"/>
                <w:szCs w:val="28"/>
              </w:rPr>
              <w:t>标准化</w:t>
            </w:r>
          </w:p>
          <w:p w14:paraId="7F07CD8A">
            <w:pPr>
              <w:spacing w:line="320" w:lineRule="exact"/>
              <w:jc w:val="center"/>
              <w:rPr>
                <w:rFonts w:ascii="Times New Roman" w:hAnsi="Times New Roman" w:eastAsia="方正黑体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sz w:val="28"/>
                <w:szCs w:val="28"/>
              </w:rPr>
              <w:t>管理机构</w:t>
            </w:r>
          </w:p>
        </w:tc>
        <w:tc>
          <w:tcPr>
            <w:tcW w:w="341" w:type="pct"/>
            <w:vAlign w:val="center"/>
          </w:tcPr>
          <w:p w14:paraId="559DEB15">
            <w:pPr>
              <w:spacing w:line="320" w:lineRule="exact"/>
              <w:jc w:val="center"/>
              <w:rPr>
                <w:rFonts w:ascii="Times New Roman" w:hAnsi="Times New Roman" w:eastAsia="方正黑体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sz w:val="28"/>
                <w:szCs w:val="28"/>
              </w:rPr>
              <w:t>制定/修订</w:t>
            </w:r>
          </w:p>
        </w:tc>
        <w:tc>
          <w:tcPr>
            <w:tcW w:w="1661" w:type="pct"/>
            <w:vAlign w:val="center"/>
          </w:tcPr>
          <w:p w14:paraId="01A9F60D">
            <w:pPr>
              <w:spacing w:line="320" w:lineRule="exact"/>
              <w:jc w:val="center"/>
              <w:rPr>
                <w:rFonts w:ascii="Times New Roman" w:hAnsi="Times New Roman" w:eastAsia="方正黑体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黑体_GBK" w:cs="Times New Roman"/>
                <w:sz w:val="28"/>
                <w:szCs w:val="28"/>
              </w:rPr>
              <w:t>内容简介</w:t>
            </w:r>
            <w:r>
              <w:rPr>
                <w:rFonts w:ascii="Times New Roman" w:hAnsi="Times New Roman" w:eastAsia="方正黑体_GBK" w:cs="Times New Roman"/>
                <w:sz w:val="28"/>
                <w:szCs w:val="28"/>
                <w:vertAlign w:val="superscript"/>
              </w:rPr>
              <w:t>**</w:t>
            </w:r>
          </w:p>
        </w:tc>
        <w:tc>
          <w:tcPr>
            <w:tcW w:w="811" w:type="pct"/>
            <w:vAlign w:val="center"/>
          </w:tcPr>
          <w:p w14:paraId="119A89FC">
            <w:pPr>
              <w:spacing w:line="320" w:lineRule="exact"/>
              <w:jc w:val="center"/>
              <w:rPr>
                <w:rFonts w:ascii="Times New Roman" w:hAnsi="Times New Roman" w:eastAsia="方正黑体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sz w:val="28"/>
                <w:szCs w:val="28"/>
              </w:rPr>
              <w:t>依托重大工程制定或应用情况</w:t>
            </w:r>
          </w:p>
        </w:tc>
      </w:tr>
      <w:tr w14:paraId="043132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293" w:type="pct"/>
            <w:vAlign w:val="center"/>
          </w:tcPr>
          <w:p w14:paraId="723403A7">
            <w:pPr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FF0000"/>
                <w:sz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FF0000"/>
                <w:sz w:val="24"/>
              </w:rPr>
              <w:t>1</w:t>
            </w:r>
          </w:p>
        </w:tc>
        <w:tc>
          <w:tcPr>
            <w:tcW w:w="595" w:type="pct"/>
            <w:shd w:val="clear" w:color="auto" w:fill="auto"/>
            <w:vAlign w:val="center"/>
          </w:tcPr>
          <w:p w14:paraId="72D468BA">
            <w:pPr>
              <w:spacing w:line="320" w:lineRule="exact"/>
              <w:jc w:val="center"/>
              <w:rPr>
                <w:rFonts w:hint="eastAsia" w:ascii="Times New Roman" w:hAnsi="Times New Roman" w:eastAsia="方正仿宋_GBK" w:cs="Times New Roman"/>
                <w:color w:val="FF0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FF0000"/>
                <w:sz w:val="24"/>
                <w:lang w:val="en-US" w:eastAsia="zh-CN"/>
              </w:rPr>
              <w:t>XXXX</w:t>
            </w:r>
          </w:p>
          <w:p w14:paraId="12E27482">
            <w:pPr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FF0000"/>
                <w:sz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FF0000"/>
                <w:sz w:val="24"/>
              </w:rPr>
              <w:t>设计规程</w:t>
            </w:r>
          </w:p>
        </w:tc>
        <w:tc>
          <w:tcPr>
            <w:tcW w:w="755" w:type="pct"/>
            <w:shd w:val="clear" w:color="auto" w:fill="auto"/>
            <w:vAlign w:val="center"/>
          </w:tcPr>
          <w:p w14:paraId="40761AC0">
            <w:pPr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FF0000"/>
                <w:sz w:val="24"/>
              </w:rPr>
            </w:pPr>
            <w:r>
              <w:rPr>
                <w:rFonts w:ascii="Times New Roman" w:hAnsi="Times New Roman" w:eastAsia="方正仿宋_GBK" w:cs="Times New Roman"/>
                <w:color w:val="FF0000"/>
                <w:sz w:val="24"/>
              </w:rPr>
              <w:t>新技术、新产业、新业态综合性标准</w:t>
            </w:r>
          </w:p>
        </w:tc>
        <w:tc>
          <w:tcPr>
            <w:tcW w:w="540" w:type="pct"/>
            <w:shd w:val="clear" w:color="auto" w:fill="auto"/>
            <w:vAlign w:val="center"/>
          </w:tcPr>
          <w:p w14:paraId="288AC8EA">
            <w:pPr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FF0000"/>
                <w:sz w:val="24"/>
              </w:rPr>
            </w:pPr>
            <w:r>
              <w:rPr>
                <w:rFonts w:ascii="Times New Roman" w:hAnsi="Times New Roman" w:eastAsia="方正仿宋_GBK" w:cs="Times New Roman"/>
                <w:color w:val="FF0000"/>
                <w:sz w:val="24"/>
              </w:rPr>
              <w:t>电力规划设计总院</w:t>
            </w:r>
          </w:p>
        </w:tc>
        <w:tc>
          <w:tcPr>
            <w:tcW w:w="341" w:type="pct"/>
            <w:shd w:val="clear" w:color="auto" w:fill="auto"/>
            <w:vAlign w:val="center"/>
          </w:tcPr>
          <w:p w14:paraId="642FBFC1">
            <w:pPr>
              <w:spacing w:line="320" w:lineRule="exact"/>
              <w:jc w:val="center"/>
              <w:rPr>
                <w:rFonts w:ascii="Times New Roman" w:hAnsi="Times New Roman" w:eastAsia="方正仿宋_GBK" w:cs="Times New Roman"/>
                <w:color w:val="FF0000"/>
                <w:sz w:val="24"/>
              </w:rPr>
            </w:pPr>
            <w:r>
              <w:rPr>
                <w:rFonts w:hint="eastAsia" w:ascii="Times New Roman" w:hAnsi="Times New Roman" w:eastAsia="方正仿宋_GBK" w:cs="Times New Roman"/>
                <w:color w:val="FF0000"/>
                <w:sz w:val="24"/>
              </w:rPr>
              <w:t>制定</w:t>
            </w:r>
          </w:p>
        </w:tc>
        <w:tc>
          <w:tcPr>
            <w:tcW w:w="1661" w:type="pct"/>
            <w:shd w:val="clear" w:color="auto" w:fill="auto"/>
            <w:vAlign w:val="center"/>
          </w:tcPr>
          <w:p w14:paraId="6F84B408">
            <w:pPr>
              <w:spacing w:line="320" w:lineRule="exact"/>
              <w:ind w:firstLine="480" w:firstLineChars="200"/>
              <w:jc w:val="left"/>
              <w:rPr>
                <w:rFonts w:ascii="Times New Roman" w:hAnsi="Times New Roman" w:eastAsia="方正仿宋_GBK" w:cs="Times New Roman"/>
                <w:color w:val="FF0000"/>
                <w:sz w:val="24"/>
              </w:rPr>
            </w:pPr>
            <w:r>
              <w:rPr>
                <w:rFonts w:ascii="Times New Roman" w:hAnsi="Times New Roman" w:eastAsia="方正仿宋_GBK" w:cs="Times New Roman"/>
                <w:color w:val="FF0000"/>
                <w:sz w:val="24"/>
              </w:rPr>
              <w:t>本标准归口</w:t>
            </w:r>
            <w:r>
              <w:rPr>
                <w:rFonts w:hint="eastAsia" w:ascii="Times New Roman" w:hAnsi="Times New Roman" w:eastAsia="方正仿宋_GBK" w:cs="Times New Roman"/>
                <w:color w:val="FF0000"/>
                <w:sz w:val="24"/>
              </w:rPr>
              <w:t>能源行业</w:t>
            </w:r>
            <w:r>
              <w:rPr>
                <w:rFonts w:hint="eastAsia" w:ascii="Times New Roman" w:hAnsi="Times New Roman" w:eastAsia="方正仿宋_GBK" w:cs="Times New Roman"/>
                <w:color w:val="FF0000"/>
                <w:sz w:val="24"/>
                <w:lang w:val="en-US" w:eastAsia="zh-CN"/>
              </w:rPr>
              <w:t>XXXX</w:t>
            </w:r>
            <w:r>
              <w:rPr>
                <w:rFonts w:hint="eastAsia" w:ascii="Times New Roman" w:hAnsi="Times New Roman" w:eastAsia="方正仿宋_GBK" w:cs="Times New Roman"/>
                <w:color w:val="FF0000"/>
                <w:sz w:val="24"/>
              </w:rPr>
              <w:t>标准化技术委员会</w:t>
            </w:r>
            <w:r>
              <w:rPr>
                <w:rFonts w:ascii="Times New Roman" w:hAnsi="Times New Roman" w:eastAsia="方正仿宋_GBK" w:cs="Times New Roman"/>
                <w:color w:val="FF0000"/>
                <w:sz w:val="24"/>
              </w:rPr>
              <w:t>，</w:t>
            </w:r>
            <w:r>
              <w:rPr>
                <w:rFonts w:hint="eastAsia" w:ascii="Times New Roman" w:hAnsi="Times New Roman" w:eastAsia="方正仿宋_GBK" w:cs="Times New Roman"/>
                <w:color w:val="FF0000"/>
                <w:sz w:val="24"/>
              </w:rPr>
              <w:t>编写</w:t>
            </w:r>
            <w:r>
              <w:rPr>
                <w:rFonts w:ascii="Times New Roman" w:hAnsi="Times New Roman" w:eastAsia="方正仿宋_GBK" w:cs="Times New Roman"/>
                <w:color w:val="FF0000"/>
                <w:sz w:val="24"/>
              </w:rPr>
              <w:t>单位包括</w:t>
            </w:r>
            <w:r>
              <w:rPr>
                <w:rFonts w:hint="eastAsia" w:ascii="Times New Roman" w:hAnsi="Times New Roman" w:eastAsia="方正仿宋_GBK" w:cs="Times New Roman"/>
                <w:color w:val="FF0000"/>
                <w:sz w:val="24"/>
              </w:rPr>
              <w:t>电力规划总院有限公司、</w:t>
            </w:r>
            <w:r>
              <w:rPr>
                <w:rFonts w:hint="eastAsia" w:ascii="Times New Roman" w:hAnsi="Times New Roman" w:eastAsia="方正仿宋_GBK" w:cs="Times New Roman"/>
                <w:color w:val="FF0000"/>
                <w:sz w:val="24"/>
                <w:lang w:val="en-US" w:eastAsia="zh-CN"/>
              </w:rPr>
              <w:t>XXXX</w:t>
            </w:r>
            <w:r>
              <w:rPr>
                <w:rFonts w:ascii="Times New Roman" w:hAnsi="Times New Roman" w:eastAsia="方正仿宋_GBK" w:cs="Times New Roman"/>
                <w:color w:val="FF0000"/>
                <w:sz w:val="24"/>
              </w:rPr>
              <w:t>等。</w:t>
            </w:r>
          </w:p>
          <w:p w14:paraId="7F82E81E">
            <w:pPr>
              <w:spacing w:line="320" w:lineRule="exact"/>
              <w:ind w:firstLine="480" w:firstLineChars="200"/>
              <w:rPr>
                <w:rFonts w:ascii="Times New Roman" w:hAnsi="Times New Roman" w:eastAsia="方正仿宋_GBK" w:cs="Times New Roman"/>
                <w:color w:val="FF0000"/>
                <w:sz w:val="24"/>
              </w:rPr>
            </w:pPr>
            <w:r>
              <w:rPr>
                <w:rFonts w:ascii="Times New Roman" w:hAnsi="Times New Roman" w:eastAsia="方正仿宋_GBK" w:cs="Times New Roman"/>
                <w:color w:val="FF0000"/>
                <w:sz w:val="24"/>
              </w:rPr>
              <w:t>本标准适用于</w:t>
            </w:r>
            <w:r>
              <w:rPr>
                <w:rFonts w:hint="eastAsia" w:ascii="Times New Roman" w:hAnsi="Times New Roman" w:eastAsia="方正仿宋_GBK" w:cs="Times New Roman"/>
                <w:color w:val="FF0000"/>
                <w:sz w:val="24"/>
                <w:lang w:val="en-US" w:eastAsia="zh-CN"/>
              </w:rPr>
              <w:t>XXXX</w:t>
            </w:r>
            <w:r>
              <w:rPr>
                <w:rFonts w:hint="eastAsia" w:ascii="Times New Roman" w:hAnsi="Times New Roman" w:eastAsia="方正仿宋_GBK" w:cs="Times New Roman"/>
                <w:color w:val="FF0000"/>
                <w:sz w:val="24"/>
              </w:rPr>
              <w:t>的设计，</w:t>
            </w:r>
            <w:r>
              <w:rPr>
                <w:rFonts w:ascii="Times New Roman" w:hAnsi="Times New Roman" w:eastAsia="方正仿宋_GBK" w:cs="Times New Roman"/>
                <w:color w:val="FF0000"/>
                <w:sz w:val="24"/>
              </w:rPr>
              <w:t>规定了</w:t>
            </w:r>
            <w:r>
              <w:rPr>
                <w:rFonts w:hint="eastAsia" w:ascii="Times New Roman" w:hAnsi="Times New Roman" w:eastAsia="方正仿宋_GBK" w:cs="Times New Roman"/>
                <w:color w:val="FF0000"/>
                <w:sz w:val="24"/>
                <w:lang w:val="en-US" w:eastAsia="zh-CN"/>
              </w:rPr>
              <w:t>XXXX</w:t>
            </w:r>
            <w:r>
              <w:rPr>
                <w:rFonts w:hint="eastAsia" w:ascii="Times New Roman" w:hAnsi="Times New Roman" w:eastAsia="方正仿宋_GBK" w:cs="Times New Roman"/>
                <w:color w:val="FF0000"/>
                <w:sz w:val="24"/>
              </w:rPr>
              <w:t>等</w:t>
            </w:r>
            <w:r>
              <w:rPr>
                <w:rFonts w:ascii="Times New Roman" w:hAnsi="Times New Roman" w:eastAsia="方正仿宋_GBK" w:cs="Times New Roman"/>
                <w:color w:val="FF0000"/>
                <w:sz w:val="24"/>
              </w:rPr>
              <w:t>。</w:t>
            </w:r>
          </w:p>
          <w:p w14:paraId="149D230D">
            <w:pPr>
              <w:pStyle w:val="2"/>
              <w:spacing w:after="0" w:line="320" w:lineRule="exact"/>
              <w:ind w:firstLine="480" w:firstLineChars="200"/>
              <w:rPr>
                <w:rFonts w:eastAsia="方正仿宋_GBK"/>
                <w:color w:val="FF0000"/>
              </w:rPr>
            </w:pPr>
            <w:r>
              <w:rPr>
                <w:rFonts w:hint="eastAsia" w:ascii="Times New Roman" w:hAnsi="Times New Roman" w:eastAsia="方正仿宋_GBK" w:cs="Times New Roman"/>
                <w:color w:val="FF0000"/>
                <w:sz w:val="24"/>
              </w:rPr>
              <w:t>标准的发布实施，将为</w:t>
            </w:r>
            <w:r>
              <w:rPr>
                <w:rFonts w:hint="eastAsia" w:ascii="Times New Roman" w:hAnsi="Times New Roman" w:eastAsia="方正仿宋_GBK" w:cs="Times New Roman"/>
                <w:color w:val="FF0000"/>
                <w:sz w:val="24"/>
                <w:lang w:val="en-US" w:eastAsia="zh-CN"/>
              </w:rPr>
              <w:t>XXXX</w:t>
            </w:r>
            <w:r>
              <w:rPr>
                <w:rFonts w:hint="eastAsia" w:ascii="Times New Roman" w:hAnsi="Times New Roman" w:eastAsia="方正仿宋_GBK" w:cs="Times New Roman"/>
                <w:color w:val="FF0000"/>
                <w:sz w:val="24"/>
              </w:rPr>
              <w:t>提供依据，规范技术要求，促进工程应用。</w:t>
            </w:r>
          </w:p>
        </w:tc>
        <w:tc>
          <w:tcPr>
            <w:tcW w:w="811" w:type="pct"/>
            <w:shd w:val="clear" w:color="auto" w:fill="auto"/>
            <w:vAlign w:val="center"/>
          </w:tcPr>
          <w:p w14:paraId="70CEF8E7">
            <w:pPr>
              <w:spacing w:line="320" w:lineRule="exact"/>
              <w:ind w:firstLine="480" w:firstLineChars="200"/>
              <w:rPr>
                <w:rFonts w:ascii="Times New Roman" w:hAnsi="Times New Roman" w:eastAsia="方正仿宋_GBK" w:cs="Times New Roman"/>
                <w:color w:val="FF0000"/>
                <w:sz w:val="24"/>
              </w:rPr>
            </w:pPr>
          </w:p>
        </w:tc>
      </w:tr>
    </w:tbl>
    <w:p w14:paraId="3B57D441">
      <w:pPr>
        <w:spacing w:line="520" w:lineRule="exact"/>
        <w:rPr>
          <w:rFonts w:ascii="Times New Roman" w:hAnsi="Times New Roman" w:eastAsia="方正楷体_GBK" w:cs="Times New Roman"/>
          <w:sz w:val="28"/>
          <w:szCs w:val="36"/>
        </w:rPr>
      </w:pPr>
      <w:r>
        <w:rPr>
          <w:rFonts w:ascii="Times New Roman" w:hAnsi="Times New Roman" w:eastAsia="方正楷体_GBK" w:cs="Times New Roman"/>
          <w:sz w:val="28"/>
          <w:szCs w:val="36"/>
        </w:rPr>
        <w:t>*重点标准类型包括：（1）重要产品标准，（2）综合性技术规范，（3）新技术、新产业、新业态综合性标准，（4）涉及碳管理的重点标准，（5）强制性国家标准的支撑配套标准等。</w:t>
      </w:r>
    </w:p>
    <w:p w14:paraId="7D0800CE">
      <w:pPr>
        <w:spacing w:line="520" w:lineRule="exact"/>
        <w:rPr>
          <w:rFonts w:ascii="Times New Roman" w:hAnsi="Times New Roman" w:eastAsia="方正楷体_GBK" w:cs="Times New Roman"/>
          <w:sz w:val="28"/>
          <w:szCs w:val="36"/>
        </w:rPr>
      </w:pPr>
      <w:r>
        <w:rPr>
          <w:rFonts w:ascii="Times New Roman" w:hAnsi="Times New Roman" w:eastAsia="方正楷体_GBK" w:cs="Times New Roman"/>
          <w:sz w:val="28"/>
          <w:szCs w:val="36"/>
        </w:rPr>
        <w:t>**内容简介需包含：归口标委会和前</w:t>
      </w:r>
      <w:r>
        <w:rPr>
          <w:rFonts w:hint="eastAsia" w:ascii="Times New Roman" w:hAnsi="Times New Roman" w:eastAsia="方正楷体_GBK" w:cs="Times New Roman"/>
          <w:sz w:val="28"/>
          <w:szCs w:val="36"/>
        </w:rPr>
        <w:t>2</w:t>
      </w:r>
      <w:r>
        <w:rPr>
          <w:rFonts w:ascii="Times New Roman" w:hAnsi="Times New Roman" w:eastAsia="方正楷体_GBK" w:cs="Times New Roman"/>
          <w:sz w:val="28"/>
          <w:szCs w:val="36"/>
        </w:rPr>
        <w:t>家主要编制单位、标准适用范围</w:t>
      </w:r>
      <w:r>
        <w:rPr>
          <w:rFonts w:hint="eastAsia" w:ascii="Times New Roman" w:hAnsi="Times New Roman" w:eastAsia="方正楷体_GBK" w:cs="Times New Roman"/>
          <w:sz w:val="28"/>
          <w:szCs w:val="36"/>
        </w:rPr>
        <w:t>和主要</w:t>
      </w:r>
      <w:r>
        <w:rPr>
          <w:rFonts w:ascii="Times New Roman" w:hAnsi="Times New Roman" w:eastAsia="方正楷体_GBK" w:cs="Times New Roman"/>
          <w:sz w:val="28"/>
          <w:szCs w:val="36"/>
        </w:rPr>
        <w:t>技术内容</w:t>
      </w:r>
      <w:r>
        <w:rPr>
          <w:rFonts w:hint="eastAsia" w:ascii="Times New Roman" w:hAnsi="Times New Roman" w:eastAsia="方正楷体_GBK" w:cs="Times New Roman"/>
          <w:sz w:val="28"/>
          <w:szCs w:val="36"/>
        </w:rPr>
        <w:t>、标准发布实施预期成效等</w:t>
      </w:r>
      <w:r>
        <w:rPr>
          <w:rFonts w:ascii="Times New Roman" w:hAnsi="Times New Roman" w:eastAsia="方正楷体_GBK" w:cs="Times New Roman"/>
          <w:sz w:val="28"/>
          <w:szCs w:val="36"/>
        </w:rPr>
        <w:t>，</w:t>
      </w:r>
      <w:r>
        <w:rPr>
          <w:rFonts w:hint="eastAsia" w:ascii="Times New Roman" w:hAnsi="Times New Roman" w:eastAsia="方正楷体_GBK" w:cs="Times New Roman"/>
          <w:sz w:val="28"/>
          <w:szCs w:val="36"/>
        </w:rPr>
        <w:t>不超过200</w:t>
      </w:r>
      <w:r>
        <w:rPr>
          <w:rFonts w:ascii="Times New Roman" w:hAnsi="Times New Roman" w:eastAsia="方正楷体_GBK" w:cs="Times New Roman"/>
          <w:sz w:val="28"/>
          <w:szCs w:val="36"/>
        </w:rPr>
        <w:t>字。</w:t>
      </w:r>
    </w:p>
    <w:sectPr>
      <w:footerReference r:id="rId3" w:type="default"/>
      <w:pgSz w:w="16838" w:h="11906" w:orient="landscape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书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FA416E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6DDB4E3">
                          <w:pPr>
                            <w:pStyle w:val="4"/>
                            <w:rPr>
                              <w:rFonts w:ascii="Times New Roman" w:hAnsi="Times New Roman" w:cs="Times New Roman"/>
                              <w:sz w:val="21"/>
                              <w:szCs w:val="32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32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1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6DDB4E3">
                    <w:pPr>
                      <w:pStyle w:val="4"/>
                      <w:rPr>
                        <w:rFonts w:ascii="Times New Roman" w:hAnsi="Times New Roman" w:cs="Times New Roman"/>
                        <w:sz w:val="21"/>
                        <w:szCs w:val="32"/>
                      </w:rPr>
                    </w:pPr>
                    <w:r>
                      <w:rPr>
                        <w:rFonts w:ascii="Times New Roman" w:hAnsi="Times New Roman" w:cs="Times New Roman"/>
                        <w:sz w:val="21"/>
                        <w:szCs w:val="32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1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1"/>
                        <w:szCs w:val="32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1"/>
                        <w:szCs w:val="32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1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AxODVjODg0NmVjMjVmZjFjMDEwN2NjNDY2N2YyMzAifQ=="/>
  </w:docVars>
  <w:rsids>
    <w:rsidRoot w:val="4A1947CF"/>
    <w:rsid w:val="000D4A61"/>
    <w:rsid w:val="001D0100"/>
    <w:rsid w:val="003D2D8A"/>
    <w:rsid w:val="007D5581"/>
    <w:rsid w:val="008254CB"/>
    <w:rsid w:val="00A841AF"/>
    <w:rsid w:val="00E74924"/>
    <w:rsid w:val="0F316BFB"/>
    <w:rsid w:val="175BB64B"/>
    <w:rsid w:val="1AFF4FAC"/>
    <w:rsid w:val="1BFAE72B"/>
    <w:rsid w:val="1DFD562A"/>
    <w:rsid w:val="1FA1D1EF"/>
    <w:rsid w:val="29DF31C0"/>
    <w:rsid w:val="2DEF424D"/>
    <w:rsid w:val="2DF3E7A0"/>
    <w:rsid w:val="2EFB2C7A"/>
    <w:rsid w:val="2EFFAFDD"/>
    <w:rsid w:val="2F8FED0A"/>
    <w:rsid w:val="2FFFDC81"/>
    <w:rsid w:val="33F7F1E7"/>
    <w:rsid w:val="3ADF6BBE"/>
    <w:rsid w:val="3AFF53E1"/>
    <w:rsid w:val="3BAA155F"/>
    <w:rsid w:val="3BFF9C4F"/>
    <w:rsid w:val="3CBD58D9"/>
    <w:rsid w:val="3CEDECAF"/>
    <w:rsid w:val="3FBFD1CD"/>
    <w:rsid w:val="3FD925BD"/>
    <w:rsid w:val="3FFA5591"/>
    <w:rsid w:val="3FFC2975"/>
    <w:rsid w:val="4776AB7B"/>
    <w:rsid w:val="4A1947CF"/>
    <w:rsid w:val="57D7D2B3"/>
    <w:rsid w:val="5A7D6A89"/>
    <w:rsid w:val="5AEE96AD"/>
    <w:rsid w:val="5B2D7484"/>
    <w:rsid w:val="5BFFB4FE"/>
    <w:rsid w:val="5CDB04CF"/>
    <w:rsid w:val="5D75CE4C"/>
    <w:rsid w:val="5E7E4BF6"/>
    <w:rsid w:val="5E97228D"/>
    <w:rsid w:val="5F4627C0"/>
    <w:rsid w:val="5F74B36A"/>
    <w:rsid w:val="5FFB34F5"/>
    <w:rsid w:val="617FDD5C"/>
    <w:rsid w:val="65F05316"/>
    <w:rsid w:val="678DF8B0"/>
    <w:rsid w:val="6B6F2E91"/>
    <w:rsid w:val="6D5F25CC"/>
    <w:rsid w:val="6D5F53A0"/>
    <w:rsid w:val="6D73A64C"/>
    <w:rsid w:val="6F774A6A"/>
    <w:rsid w:val="6FC3B150"/>
    <w:rsid w:val="6FF7AFB9"/>
    <w:rsid w:val="718271AF"/>
    <w:rsid w:val="737DBAD5"/>
    <w:rsid w:val="74F77BBA"/>
    <w:rsid w:val="776E783C"/>
    <w:rsid w:val="77E6259F"/>
    <w:rsid w:val="79ECAB37"/>
    <w:rsid w:val="79EDA894"/>
    <w:rsid w:val="7AFF00CE"/>
    <w:rsid w:val="7B29A748"/>
    <w:rsid w:val="7B5F678D"/>
    <w:rsid w:val="7B772545"/>
    <w:rsid w:val="7BFF20D9"/>
    <w:rsid w:val="7DBFDCE2"/>
    <w:rsid w:val="7DEF731B"/>
    <w:rsid w:val="7DF9B354"/>
    <w:rsid w:val="7DFFFB8E"/>
    <w:rsid w:val="7E3E54E1"/>
    <w:rsid w:val="7EEBA100"/>
    <w:rsid w:val="7EFC61FA"/>
    <w:rsid w:val="7FED4A18"/>
    <w:rsid w:val="7FFDF784"/>
    <w:rsid w:val="7FFF89CB"/>
    <w:rsid w:val="8B6E85B6"/>
    <w:rsid w:val="96DFA094"/>
    <w:rsid w:val="9D67F28A"/>
    <w:rsid w:val="9DEF6A13"/>
    <w:rsid w:val="A1B92028"/>
    <w:rsid w:val="ADE72845"/>
    <w:rsid w:val="AFC9FDEB"/>
    <w:rsid w:val="AFFF328B"/>
    <w:rsid w:val="B5DF0E76"/>
    <w:rsid w:val="BBF3064F"/>
    <w:rsid w:val="BCF3A856"/>
    <w:rsid w:val="BDDF8C10"/>
    <w:rsid w:val="BEFFB490"/>
    <w:rsid w:val="BF3FA360"/>
    <w:rsid w:val="BFDB127A"/>
    <w:rsid w:val="BFF31847"/>
    <w:rsid w:val="C7DF3D46"/>
    <w:rsid w:val="CB1F96D5"/>
    <w:rsid w:val="CFFFEE3F"/>
    <w:rsid w:val="D1F3CA71"/>
    <w:rsid w:val="D9F7CC22"/>
    <w:rsid w:val="DDBFC92E"/>
    <w:rsid w:val="DDF3A228"/>
    <w:rsid w:val="EA5BCE10"/>
    <w:rsid w:val="EA73ED88"/>
    <w:rsid w:val="EB3F10E1"/>
    <w:rsid w:val="EBF98585"/>
    <w:rsid w:val="EE7F29A5"/>
    <w:rsid w:val="EEBB6C34"/>
    <w:rsid w:val="EFD467AC"/>
    <w:rsid w:val="EFDFB4F9"/>
    <w:rsid w:val="F4FE60AE"/>
    <w:rsid w:val="F7ED3215"/>
    <w:rsid w:val="F7FFCCD3"/>
    <w:rsid w:val="F9F53093"/>
    <w:rsid w:val="FB7FB6F2"/>
    <w:rsid w:val="FE3F6152"/>
    <w:rsid w:val="FE9F937C"/>
    <w:rsid w:val="FEDF901D"/>
    <w:rsid w:val="FF1B8F01"/>
    <w:rsid w:val="FF1FF856"/>
    <w:rsid w:val="FFEF8A4C"/>
    <w:rsid w:val="FFEFBA7D"/>
    <w:rsid w:val="FFFDE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  <w:rPr>
      <w:rFonts w:ascii="Calibri" w:hAnsi="Calibri"/>
    </w:rPr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段 Char"/>
    <w:link w:val="10"/>
    <w:qFormat/>
    <w:uiPriority w:val="0"/>
    <w:rPr>
      <w:rFonts w:ascii="Times New Roman" w:hAnsi="Times New Roman" w:eastAsia="方正书宋简体" w:cs="Times New Roman"/>
      <w:spacing w:val="4"/>
      <w:sz w:val="21"/>
      <w:lang w:val="en-US" w:eastAsia="zh-CN" w:bidi="ar-SA"/>
    </w:rPr>
  </w:style>
  <w:style w:type="paragraph" w:customStyle="1" w:styleId="10">
    <w:name w:val="段"/>
    <w:link w:val="9"/>
    <w:qFormat/>
    <w:uiPriority w:val="0"/>
    <w:pPr>
      <w:widowControl w:val="0"/>
      <w:spacing w:line="340" w:lineRule="exact"/>
      <w:ind w:firstLine="200" w:firstLineChars="200"/>
      <w:jc w:val="both"/>
    </w:pPr>
    <w:rPr>
      <w:rFonts w:ascii="Times New Roman" w:hAnsi="Times New Roman" w:eastAsia="方正书宋简体" w:cs="Times New Roman"/>
      <w:spacing w:val="4"/>
      <w:sz w:val="21"/>
      <w:lang w:val="en-US" w:eastAsia="zh-CN" w:bidi="ar-SA"/>
    </w:rPr>
  </w:style>
  <w:style w:type="paragraph" w:customStyle="1" w:styleId="11">
    <w:name w:val="标准文件_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504</Words>
  <Characters>558</Characters>
  <Lines>4</Lines>
  <Paragraphs>1</Paragraphs>
  <TotalTime>29</TotalTime>
  <ScaleCrop>false</ScaleCrop>
  <LinksUpToDate>false</LinksUpToDate>
  <CharactersWithSpaces>559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2018-07-15T07:11:00Z</dcterms:created>
  <dc:creator>d</dc:creator>
  <cp:lastModifiedBy>ira</cp:lastModifiedBy>
  <cp:lastPrinted>2025-07-18T03:20:00Z</cp:lastPrinted>
  <dcterms:modified xsi:type="dcterms:W3CDTF">2026-07-03T08:20:18Z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1A598E69ABAC4ED993658DB183573827_13</vt:lpwstr>
  </property>
  <property fmtid="{D5CDD505-2E9C-101B-9397-08002B2CF9AE}" pid="4" name="KSOTemplateDocerSaveRecord">
    <vt:lpwstr>eyJoZGlkIjoiMTM1Y2NhMmY5N2QwZmE2YmY3NGMwYjc3YWJkNzU4MzEiLCJ1c2VySWQiOiIzMzMxODg1NzQifQ==</vt:lpwstr>
  </property>
</Properties>
</file>