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72C3626">
      <w:pPr>
        <w:widowControl/>
        <w:adjustRightInd w:val="0"/>
        <w:snapToGrid w:val="0"/>
        <w:jc w:val="center"/>
        <w:rPr>
          <w:rFonts w:eastAsia="黑体"/>
          <w:b/>
          <w:bCs/>
          <w:color w:val="000000" w:themeColor="text1"/>
          <w:sz w:val="52"/>
          <w:highlight w:val="none"/>
          <w14:textFill>
            <w14:solidFill>
              <w14:schemeClr w14:val="tx1"/>
            </w14:solidFill>
          </w14:textFill>
        </w:rPr>
      </w:pPr>
      <w:bookmarkStart w:id="0" w:name="_Toc508287473"/>
      <w:bookmarkStart w:id="1" w:name="_Toc4822"/>
      <w:bookmarkStart w:id="2" w:name="_Toc6281"/>
      <w:r>
        <w:rPr>
          <w:rFonts w:hint="eastAsia" w:eastAsia="黑体"/>
          <w:b/>
          <w:bCs/>
          <w:color w:val="000000" w:themeColor="text1"/>
          <w:sz w:val="52"/>
          <w:highlight w:val="none"/>
          <w14:textFill>
            <w14:solidFill>
              <w14:schemeClr w14:val="tx1"/>
            </w14:solidFill>
          </w14:textFill>
        </w:rPr>
        <w:t>中华人民共和国电力行业标准</w:t>
      </w:r>
    </w:p>
    <w:p w14:paraId="56264212">
      <w:pPr>
        <w:pStyle w:val="6"/>
        <w:widowControl/>
        <w:adjustRightInd w:val="0"/>
        <w:snapToGrid w:val="0"/>
        <w:spacing w:after="0" w:line="240" w:lineRule="auto"/>
        <w:ind w:firstLine="138" w:firstLineChars="49"/>
        <w:jc w:val="left"/>
        <w:outlineLvl w:val="9"/>
        <w:rPr>
          <w:rFonts w:hint="eastAsia" w:ascii="黑体" w:hAnsi="Times New Roman" w:eastAsia="黑体" w:cs="Times New Roman"/>
          <w:b/>
          <w:bCs/>
          <w:color w:val="000000" w:themeColor="text1"/>
          <w:kern w:val="0"/>
          <w:sz w:val="28"/>
          <w:szCs w:val="28"/>
          <w:lang w:val="fr-FR"/>
          <w14:textFill>
            <w14:solidFill>
              <w14:schemeClr w14:val="tx1"/>
            </w14:solidFill>
          </w14:textFill>
        </w:rPr>
      </w:pPr>
      <w:bookmarkStart w:id="3" w:name="_Toc12878"/>
      <w:bookmarkStart w:id="4" w:name="_Toc16500"/>
      <w:bookmarkStart w:id="5" w:name="_Toc18790"/>
      <w:bookmarkStart w:id="6" w:name="_Toc6977"/>
      <w:r>
        <w:rPr>
          <w:rFonts w:hint="eastAsia" w:ascii="黑体" w:hAnsi="Times New Roman" w:eastAsia="黑体" w:cs="Times New Roman"/>
          <w:b/>
          <w:bCs/>
          <w:color w:val="000000" w:themeColor="text1"/>
          <w:kern w:val="0"/>
          <w:sz w:val="28"/>
          <w:szCs w:val="28"/>
          <w:lang w:val="fr-FR"/>
          <w14:textFill>
            <w14:solidFill>
              <w14:schemeClr w14:val="tx1"/>
            </w14:solidFill>
          </w14:textFill>
        </w:rPr>
        <w:t>P                                              DL/T XXXX－XXXX</w:t>
      </w:r>
      <w:bookmarkEnd w:id="3"/>
      <w:bookmarkEnd w:id="4"/>
      <w:bookmarkEnd w:id="5"/>
      <w:bookmarkEnd w:id="6"/>
    </w:p>
    <w:p w14:paraId="14C18675">
      <w:pPr>
        <w:pStyle w:val="6"/>
        <w:widowControl/>
        <w:adjustRightInd w:val="0"/>
        <w:snapToGrid w:val="0"/>
        <w:spacing w:after="0"/>
        <w:ind w:firstLine="0" w:firstLineChars="0"/>
        <w:jc w:val="left"/>
        <w:outlineLvl w:val="9"/>
        <w:rPr>
          <w:rFonts w:ascii="黑体" w:eastAsia="黑体"/>
          <w:b/>
          <w:bCs/>
          <w:color w:val="000000" w:themeColor="text1"/>
          <w:kern w:val="0"/>
          <w:sz w:val="28"/>
          <w:szCs w:val="20"/>
          <w:highlight w:val="none"/>
          <w:lang w:val="fr-FR"/>
          <w14:textFill>
            <w14:solidFill>
              <w14:schemeClr w14:val="tx1"/>
            </w14:solidFill>
          </w14:textFill>
        </w:rPr>
      </w:pPr>
      <w:r>
        <w:rPr>
          <w:color w:val="000000" w:themeColor="text1"/>
          <w:highlight w:val="none"/>
          <w14:textFill>
            <w14:solidFill>
              <w14:schemeClr w14:val="tx1"/>
            </w14:solidFill>
          </w14:textFill>
        </w:rPr>
        <mc:AlternateContent>
          <mc:Choice Requires="wps">
            <w:drawing>
              <wp:anchor distT="0" distB="0" distL="114300" distR="114300" simplePos="0" relativeHeight="251660288" behindDoc="0" locked="0" layoutInCell="1" allowOverlap="1">
                <wp:simplePos x="0" y="0"/>
                <wp:positionH relativeFrom="column">
                  <wp:posOffset>66675</wp:posOffset>
                </wp:positionH>
                <wp:positionV relativeFrom="paragraph">
                  <wp:posOffset>33655</wp:posOffset>
                </wp:positionV>
                <wp:extent cx="5615940" cy="0"/>
                <wp:effectExtent l="0" t="4445" r="0" b="5080"/>
                <wp:wrapNone/>
                <wp:docPr id="2" name="直接连接符 2"/>
                <wp:cNvGraphicFramePr/>
                <a:graphic xmlns:a="http://schemas.openxmlformats.org/drawingml/2006/main">
                  <a:graphicData uri="http://schemas.microsoft.com/office/word/2010/wordprocessingShape">
                    <wps:wsp>
                      <wps:cNvCnPr>
                        <a:cxnSpLocks noChangeShapeType="1"/>
                      </wps:cNvCnPr>
                      <wps:spPr bwMode="auto">
                        <a:xfrm>
                          <a:off x="0" y="0"/>
                          <a:ext cx="5615940" cy="0"/>
                        </a:xfrm>
                        <a:prstGeom prst="line">
                          <a:avLst/>
                        </a:prstGeom>
                        <a:noFill/>
                        <a:ln w="9525">
                          <a:solidFill>
                            <a:srgbClr val="000000"/>
                          </a:solidFill>
                          <a:round/>
                        </a:ln>
                      </wps:spPr>
                      <wps:bodyPr/>
                    </wps:wsp>
                  </a:graphicData>
                </a:graphic>
              </wp:anchor>
            </w:drawing>
          </mc:Choice>
          <mc:Fallback>
            <w:pict>
              <v:line id="_x0000_s1026" o:spid="_x0000_s1026" o:spt="20" style="position:absolute;left:0pt;margin-left:5.25pt;margin-top:2.65pt;height:0pt;width:442.2pt;z-index:251660288;mso-width-relative:page;mso-height-relative:page;" filled="f" stroked="t" coordsize="21600,21600" o:gfxdata="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">
                <v:fill on="f" focussize="0,0"/>
                <v:stroke color="#000000" joinstyle="round"/>
                <v:imagedata o:title=""/>
                <o:lock v:ext="edit" aspectratio="f"/>
              </v:line>
            </w:pict>
          </mc:Fallback>
        </mc:AlternateContent>
      </w:r>
    </w:p>
    <w:p w14:paraId="5F4FE8C7">
      <w:pPr>
        <w:adjustRightInd w:val="0"/>
        <w:snapToGrid w:val="0"/>
        <w:jc w:val="center"/>
        <w:rPr>
          <w:rFonts w:ascii="黑体" w:eastAsia="黑体"/>
          <w:b/>
          <w:color w:val="000000" w:themeColor="text1"/>
          <w:sz w:val="52"/>
          <w:highlight w:val="none"/>
          <w:lang w:val="fr-FR"/>
          <w14:textFill>
            <w14:solidFill>
              <w14:schemeClr w14:val="tx1"/>
            </w14:solidFill>
          </w14:textFill>
        </w:rPr>
      </w:pPr>
    </w:p>
    <w:p w14:paraId="17A215ED">
      <w:pPr>
        <w:adjustRightInd w:val="0"/>
        <w:snapToGrid w:val="0"/>
        <w:jc w:val="center"/>
        <w:rPr>
          <w:rFonts w:ascii="黑体" w:eastAsia="黑体"/>
          <w:b/>
          <w:color w:val="000000" w:themeColor="text1"/>
          <w:sz w:val="52"/>
          <w:highlight w:val="none"/>
          <w:lang w:val="fr-FR"/>
          <w14:textFill>
            <w14:solidFill>
              <w14:schemeClr w14:val="tx1"/>
            </w14:solidFill>
          </w14:textFill>
        </w:rPr>
      </w:pPr>
    </w:p>
    <w:p w14:paraId="402FF3B3">
      <w:pPr>
        <w:adjustRightInd w:val="0"/>
        <w:snapToGrid w:val="0"/>
        <w:jc w:val="center"/>
        <w:rPr>
          <w:rFonts w:ascii="黑体" w:eastAsia="黑体"/>
          <w:b/>
          <w:color w:val="000000" w:themeColor="text1"/>
          <w:sz w:val="52"/>
          <w:highlight w:val="none"/>
          <w:lang w:val="fr-FR"/>
          <w14:textFill>
            <w14:solidFill>
              <w14:schemeClr w14:val="tx1"/>
            </w14:solidFill>
          </w14:textFill>
        </w:rPr>
      </w:pPr>
    </w:p>
    <w:p w14:paraId="7288DBB6">
      <w:pPr>
        <w:adjustRightInd w:val="0"/>
        <w:snapToGrid w:val="0"/>
        <w:jc w:val="center"/>
        <w:rPr>
          <w:rFonts w:ascii="黑体" w:eastAsia="黑体"/>
          <w:b/>
          <w:color w:val="000000" w:themeColor="text1"/>
          <w:sz w:val="28"/>
          <w:highlight w:val="none"/>
          <w:lang w:val="fr-FR"/>
          <w14:textFill>
            <w14:solidFill>
              <w14:schemeClr w14:val="tx1"/>
            </w14:solidFill>
          </w14:textFill>
        </w:rPr>
      </w:pPr>
      <w:r>
        <w:rPr>
          <w:rFonts w:hint="eastAsia" w:ascii="黑体" w:eastAsia="黑体"/>
          <w:b/>
          <w:color w:val="000000" w:themeColor="text1"/>
          <w:sz w:val="52"/>
          <w:highlight w:val="none"/>
          <w14:textFill>
            <w14:solidFill>
              <w14:schemeClr w14:val="tx1"/>
            </w14:solidFill>
          </w14:textFill>
        </w:rPr>
        <w:t>直流输电工程成套设计内容深度规定</w:t>
      </w:r>
    </w:p>
    <w:p w14:paraId="6085A5A0">
      <w:pPr>
        <w:spacing w:line="288" w:lineRule="auto"/>
        <w:jc w:val="center"/>
        <w:rPr>
          <w:rFonts w:hint="eastAsia" w:ascii="Times New Roman" w:hAnsi="Times New Roman" w:eastAsia="宋体" w:cs="Times New Roman"/>
          <w:b/>
          <w:color w:val="000000" w:themeColor="text1"/>
          <w:sz w:val="28"/>
          <w:szCs w:val="28"/>
          <w:lang w:val="en-US" w:eastAsia="zh-CN"/>
          <w14:textFill>
            <w14:solidFill>
              <w14:schemeClr w14:val="tx1"/>
            </w14:solidFill>
          </w14:textFill>
        </w:rPr>
      </w:pPr>
      <w:r>
        <w:rPr>
          <w:rFonts w:hint="eastAsia" w:ascii="Times New Roman" w:hAnsi="Times New Roman" w:eastAsia="宋体" w:cs="Times New Roman"/>
          <w:b/>
          <w:color w:val="000000" w:themeColor="text1"/>
          <w:sz w:val="28"/>
          <w:szCs w:val="28"/>
          <w:lang w:val="en-US" w:eastAsia="zh-CN"/>
          <w14:textFill>
            <w14:solidFill>
              <w14:schemeClr w14:val="tx1"/>
            </w14:solidFill>
          </w14:textFill>
        </w:rPr>
        <w:t>Regulation of content and profundity for system design for high-voltage direct current (HVDC) transmission project</w:t>
      </w:r>
    </w:p>
    <w:p w14:paraId="543DC4F7">
      <w:pPr>
        <w:pStyle w:val="6"/>
        <w:adjustRightInd w:val="0"/>
        <w:snapToGrid w:val="0"/>
        <w:spacing w:after="0"/>
        <w:ind w:firstLine="0"/>
        <w:outlineLvl w:val="9"/>
        <w:rPr>
          <w:rFonts w:ascii="黑体" w:eastAsia="黑体"/>
          <w:b/>
          <w:bCs/>
          <w:color w:val="000000" w:themeColor="text1"/>
          <w:sz w:val="28"/>
          <w:szCs w:val="28"/>
          <w:highlight w:val="none"/>
          <w14:textFill>
            <w14:solidFill>
              <w14:schemeClr w14:val="tx1"/>
            </w14:solidFill>
          </w14:textFill>
        </w:rPr>
      </w:pPr>
    </w:p>
    <w:p w14:paraId="73653AAD">
      <w:pPr>
        <w:pStyle w:val="6"/>
        <w:adjustRightInd w:val="0"/>
        <w:snapToGrid w:val="0"/>
        <w:spacing w:after="0"/>
        <w:ind w:firstLine="0"/>
        <w:jc w:val="center"/>
        <w:outlineLvl w:val="9"/>
        <w:rPr>
          <w:rFonts w:ascii="黑体" w:eastAsia="黑体"/>
          <w:b/>
          <w:bCs/>
          <w:color w:val="000000" w:themeColor="text1"/>
          <w:sz w:val="28"/>
          <w:szCs w:val="28"/>
          <w:highlight w:val="none"/>
          <w:lang w:val="fr-FR"/>
          <w14:textFill>
            <w14:solidFill>
              <w14:schemeClr w14:val="tx1"/>
            </w14:solidFill>
          </w14:textFill>
        </w:rPr>
      </w:pPr>
      <w:bookmarkStart w:id="7" w:name="_Toc20043"/>
      <w:bookmarkStart w:id="8" w:name="_Toc10843"/>
      <w:bookmarkStart w:id="9" w:name="_Toc3047"/>
      <w:bookmarkStart w:id="10" w:name="_Toc23007"/>
      <w:r>
        <w:rPr>
          <w:rFonts w:hint="eastAsia" w:ascii="黑体" w:eastAsia="黑体"/>
          <w:b/>
          <w:bCs/>
          <w:color w:val="000000" w:themeColor="text1"/>
          <w:sz w:val="28"/>
          <w:szCs w:val="28"/>
          <w:highlight w:val="none"/>
          <w:lang w:val="fr-FR"/>
          <w14:textFill>
            <w14:solidFill>
              <w14:schemeClr w14:val="tx1"/>
            </w14:solidFill>
          </w14:textFill>
        </w:rPr>
        <w:t>（</w:t>
      </w:r>
      <w:r>
        <w:rPr>
          <w:rFonts w:hint="eastAsia" w:ascii="黑体" w:eastAsia="黑体"/>
          <w:b/>
          <w:bCs/>
          <w:color w:val="000000" w:themeColor="text1"/>
          <w:sz w:val="28"/>
          <w:szCs w:val="28"/>
          <w:highlight w:val="none"/>
          <w:lang w:val="en-US" w:eastAsia="zh-CN"/>
          <w14:textFill>
            <w14:solidFill>
              <w14:schemeClr w14:val="tx1"/>
            </w14:solidFill>
          </w14:textFill>
        </w:rPr>
        <w:t>征求意见</w:t>
      </w:r>
      <w:r>
        <w:rPr>
          <w:rFonts w:hint="eastAsia" w:ascii="黑体" w:eastAsia="黑体"/>
          <w:b/>
          <w:bCs/>
          <w:color w:val="000000" w:themeColor="text1"/>
          <w:sz w:val="28"/>
          <w:szCs w:val="28"/>
          <w:highlight w:val="none"/>
          <w14:textFill>
            <w14:solidFill>
              <w14:schemeClr w14:val="tx1"/>
            </w14:solidFill>
          </w14:textFill>
        </w:rPr>
        <w:t>稿</w:t>
      </w:r>
      <w:r>
        <w:rPr>
          <w:rFonts w:hint="eastAsia" w:ascii="黑体" w:eastAsia="黑体"/>
          <w:b/>
          <w:bCs/>
          <w:color w:val="000000" w:themeColor="text1"/>
          <w:sz w:val="28"/>
          <w:szCs w:val="28"/>
          <w:highlight w:val="none"/>
          <w:lang w:val="fr-FR"/>
          <w14:textFill>
            <w14:solidFill>
              <w14:schemeClr w14:val="tx1"/>
            </w14:solidFill>
          </w14:textFill>
        </w:rPr>
        <w:t>）</w:t>
      </w:r>
      <w:bookmarkEnd w:id="7"/>
      <w:bookmarkEnd w:id="8"/>
      <w:bookmarkEnd w:id="9"/>
      <w:bookmarkEnd w:id="10"/>
    </w:p>
    <w:p w14:paraId="4C9078EC">
      <w:pPr>
        <w:adjustRightInd w:val="0"/>
        <w:snapToGrid w:val="0"/>
        <w:jc w:val="center"/>
        <w:rPr>
          <w:rFonts w:ascii="黑体" w:eastAsia="黑体"/>
          <w:b/>
          <w:color w:val="000000" w:themeColor="text1"/>
          <w:sz w:val="28"/>
          <w:highlight w:val="none"/>
          <w14:textFill>
            <w14:solidFill>
              <w14:schemeClr w14:val="tx1"/>
            </w14:solidFill>
          </w14:textFill>
        </w:rPr>
      </w:pPr>
      <w:r>
        <w:rPr>
          <w:rFonts w:hint="eastAsia" w:ascii="黑体" w:eastAsia="黑体"/>
          <w:b/>
          <w:color w:val="000000" w:themeColor="text1"/>
          <w:sz w:val="28"/>
          <w:highlight w:val="none"/>
          <w14:textFill>
            <w14:solidFill>
              <w14:schemeClr w14:val="tx1"/>
            </w14:solidFill>
          </w14:textFill>
        </w:rPr>
        <w:t xml:space="preserve"> </w:t>
      </w:r>
    </w:p>
    <w:p w14:paraId="5058AA4E">
      <w:pPr>
        <w:jc w:val="center"/>
        <w:rPr>
          <w:rFonts w:hint="default"/>
          <w:b/>
          <w:sz w:val="28"/>
          <w:szCs w:val="28"/>
          <w:highlight w:val="none"/>
          <w:lang w:val="en-US" w:eastAsia="zh-CN"/>
        </w:rPr>
      </w:pPr>
    </w:p>
    <w:p w14:paraId="31A37569">
      <w:pPr>
        <w:jc w:val="center"/>
        <w:rPr>
          <w:highlight w:val="none"/>
          <w:lang w:val="en"/>
        </w:rPr>
      </w:pPr>
    </w:p>
    <w:p w14:paraId="2A2BCB7E">
      <w:pPr>
        <w:pStyle w:val="6"/>
        <w:bidi w:val="0"/>
        <w:outlineLvl w:val="9"/>
        <w:rPr>
          <w:highlight w:val="none"/>
          <w:lang w:val="fr-FR"/>
        </w:rPr>
      </w:pPr>
    </w:p>
    <w:p w14:paraId="590FA5AD">
      <w:pPr>
        <w:pStyle w:val="6"/>
        <w:bidi w:val="0"/>
        <w:outlineLvl w:val="9"/>
        <w:rPr>
          <w:highlight w:val="none"/>
          <w:lang w:val="fr-FR"/>
        </w:rPr>
      </w:pPr>
    </w:p>
    <w:p w14:paraId="4853C64C">
      <w:pPr>
        <w:pStyle w:val="6"/>
        <w:bidi w:val="0"/>
        <w:outlineLvl w:val="9"/>
        <w:rPr>
          <w:highlight w:val="none"/>
          <w:lang w:val="fr-FR"/>
        </w:rPr>
      </w:pPr>
    </w:p>
    <w:p w14:paraId="307D568E">
      <w:pPr>
        <w:jc w:val="both"/>
        <w:rPr>
          <w:rFonts w:eastAsia="黑体"/>
          <w:b/>
          <w:color w:val="000000" w:themeColor="text1"/>
          <w:sz w:val="28"/>
          <w:highlight w:val="none"/>
          <w14:textFill>
            <w14:solidFill>
              <w14:schemeClr w14:val="tx1"/>
            </w14:solidFill>
          </w14:textFill>
        </w:rPr>
      </w:pPr>
    </w:p>
    <w:tbl>
      <w:tblPr>
        <w:tblStyle w:val="15"/>
        <w:tblW w:w="0" w:type="auto"/>
        <w:jc w:val="center"/>
        <w:tblBorders>
          <w:top w:val="none" w:color="auto" w:sz="0" w:space="0"/>
          <w:left w:val="none" w:color="auto" w:sz="0" w:space="0"/>
          <w:bottom w:val="single" w:color="auto" w:sz="12"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4148"/>
        <w:gridCol w:w="4148"/>
      </w:tblGrid>
      <w:tr w14:paraId="5D0C4651">
        <w:tblPrEx>
          <w:tblBorders>
            <w:top w:val="none" w:color="auto" w:sz="0"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4148" w:type="dxa"/>
            <w:vAlign w:val="center"/>
          </w:tcPr>
          <w:p w14:paraId="536E46D9">
            <w:pPr>
              <w:rPr>
                <w:rFonts w:eastAsia="黑体"/>
                <w:b/>
                <w:color w:val="000000" w:themeColor="text1"/>
                <w:kern w:val="0"/>
                <w:sz w:val="28"/>
                <w:highlight w:val="none"/>
                <w14:textFill>
                  <w14:solidFill>
                    <w14:schemeClr w14:val="tx1"/>
                  </w14:solidFill>
                </w14:textFill>
              </w:rPr>
            </w:pPr>
            <w:r>
              <w:rPr>
                <w:rFonts w:ascii="宋体" w:hAnsi="宋体"/>
                <w:b/>
                <w:color w:val="000000" w:themeColor="text1"/>
                <w:kern w:val="0"/>
                <w:sz w:val="28"/>
                <w:szCs w:val="28"/>
                <w:highlight w:val="none"/>
                <w14:textFill>
                  <w14:solidFill>
                    <w14:schemeClr w14:val="tx1"/>
                  </w14:solidFill>
                </w14:textFill>
              </w:rPr>
              <w:t xml:space="preserve">XXXX-XX-XX </w:t>
            </w:r>
            <w:r>
              <w:rPr>
                <w:rFonts w:hint="eastAsia" w:ascii="宋体" w:hAnsi="宋体"/>
                <w:b/>
                <w:color w:val="000000" w:themeColor="text1"/>
                <w:kern w:val="0"/>
                <w:sz w:val="28"/>
                <w:szCs w:val="28"/>
                <w:highlight w:val="none"/>
                <w14:textFill>
                  <w14:solidFill>
                    <w14:schemeClr w14:val="tx1"/>
                  </w14:solidFill>
                </w14:textFill>
              </w:rPr>
              <w:t>发布</w:t>
            </w:r>
          </w:p>
        </w:tc>
        <w:tc>
          <w:tcPr>
            <w:tcW w:w="4148" w:type="dxa"/>
            <w:vAlign w:val="center"/>
          </w:tcPr>
          <w:p w14:paraId="48A0D4B0">
            <w:pPr>
              <w:jc w:val="right"/>
              <w:rPr>
                <w:rFonts w:eastAsia="黑体"/>
                <w:b/>
                <w:color w:val="000000" w:themeColor="text1"/>
                <w:kern w:val="0"/>
                <w:sz w:val="28"/>
                <w:highlight w:val="none"/>
                <w14:textFill>
                  <w14:solidFill>
                    <w14:schemeClr w14:val="tx1"/>
                  </w14:solidFill>
                </w14:textFill>
              </w:rPr>
            </w:pPr>
            <w:r>
              <w:rPr>
                <w:rFonts w:ascii="宋体" w:hAnsi="宋体"/>
                <w:b/>
                <w:color w:val="000000" w:themeColor="text1"/>
                <w:kern w:val="0"/>
                <w:sz w:val="28"/>
                <w:szCs w:val="28"/>
                <w:highlight w:val="none"/>
                <w14:textFill>
                  <w14:solidFill>
                    <w14:schemeClr w14:val="tx1"/>
                  </w14:solidFill>
                </w14:textFill>
              </w:rPr>
              <w:t xml:space="preserve">XXXX-XX-XX </w:t>
            </w:r>
            <w:r>
              <w:rPr>
                <w:rFonts w:hint="eastAsia" w:ascii="宋体" w:hAnsi="宋体"/>
                <w:b/>
                <w:color w:val="000000" w:themeColor="text1"/>
                <w:kern w:val="0"/>
                <w:sz w:val="28"/>
                <w:szCs w:val="28"/>
                <w:highlight w:val="none"/>
                <w14:textFill>
                  <w14:solidFill>
                    <w14:schemeClr w14:val="tx1"/>
                  </w14:solidFill>
                </w14:textFill>
              </w:rPr>
              <w:t>实施</w:t>
            </w:r>
          </w:p>
        </w:tc>
      </w:tr>
    </w:tbl>
    <w:p w14:paraId="3AF27E39">
      <w:pPr>
        <w:spacing w:before="240" w:beforeLines="100"/>
        <w:jc w:val="center"/>
        <w:rPr>
          <w:rFonts w:eastAsia="黑体"/>
          <w:b/>
          <w:color w:val="000000" w:themeColor="text1"/>
          <w:sz w:val="28"/>
          <w:highlight w:val="none"/>
          <w14:textFill>
            <w14:solidFill>
              <w14:schemeClr w14:val="tx1"/>
            </w14:solidFill>
          </w14:textFill>
        </w:rPr>
      </w:pPr>
      <w:r>
        <w:rPr>
          <w:rFonts w:hint="eastAsia" w:eastAsia="黑体"/>
          <w:b/>
          <w:color w:val="000000" w:themeColor="text1"/>
          <w:sz w:val="28"/>
          <w:highlight w:val="none"/>
          <w14:textFill>
            <w14:solidFill>
              <w14:schemeClr w14:val="tx1"/>
            </w14:solidFill>
          </w14:textFill>
        </w:rPr>
        <w:t>X</w:t>
      </w:r>
      <w:r>
        <w:rPr>
          <w:rFonts w:eastAsia="黑体"/>
          <w:b/>
          <w:color w:val="000000" w:themeColor="text1"/>
          <w:sz w:val="28"/>
          <w:highlight w:val="none"/>
          <w14:textFill>
            <w14:solidFill>
              <w14:schemeClr w14:val="tx1"/>
            </w14:solidFill>
          </w14:textFill>
        </w:rPr>
        <w:t xml:space="preserve">XXXX  </w:t>
      </w:r>
      <w:r>
        <w:rPr>
          <w:rFonts w:hint="eastAsia" w:eastAsia="黑体"/>
          <w:b/>
          <w:color w:val="000000" w:themeColor="text1"/>
          <w:sz w:val="24"/>
          <w:highlight w:val="none"/>
          <w14:textFill>
            <w14:solidFill>
              <w14:schemeClr w14:val="tx1"/>
            </w14:solidFill>
          </w14:textFill>
        </w:rPr>
        <w:t>发布</w:t>
      </w:r>
    </w:p>
    <w:p w14:paraId="013C35A3">
      <w:pPr>
        <w:pStyle w:val="6"/>
        <w:adjustRightInd w:val="0"/>
        <w:snapToGrid w:val="0"/>
        <w:spacing w:after="0"/>
        <w:ind w:firstLine="0"/>
        <w:jc w:val="center"/>
        <w:outlineLvl w:val="9"/>
        <w:rPr>
          <w:rFonts w:ascii="黑体" w:eastAsia="黑体"/>
          <w:b/>
          <w:bCs/>
          <w:color w:val="000000" w:themeColor="text1"/>
          <w:sz w:val="28"/>
          <w:szCs w:val="28"/>
          <w:highlight w:val="none"/>
          <w:lang w:val="fr-FR"/>
          <w14:textFill>
            <w14:solidFill>
              <w14:schemeClr w14:val="tx1"/>
            </w14:solidFill>
          </w14:textFill>
        </w:rPr>
        <w:sectPr>
          <w:headerReference r:id="rId5" w:type="default"/>
          <w:footerReference r:id="rId6" w:type="default"/>
          <w:pgSz w:w="11907" w:h="16840"/>
          <w:pgMar w:top="1588" w:right="1418" w:bottom="1588" w:left="1418" w:header="1134" w:footer="1134" w:gutter="0"/>
          <w:pgNumType w:fmt="upperRoman" w:start="1"/>
          <w:cols w:space="425" w:num="1"/>
          <w:docGrid w:linePitch="312" w:charSpace="0"/>
        </w:sectPr>
      </w:pPr>
    </w:p>
    <w:p w14:paraId="1151544E">
      <w:pPr>
        <w:jc w:val="center"/>
        <w:rPr>
          <w:b/>
          <w:color w:val="000000" w:themeColor="text1"/>
          <w:sz w:val="32"/>
          <w:szCs w:val="32"/>
          <w:highlight w:val="none"/>
          <w14:textFill>
            <w14:solidFill>
              <w14:schemeClr w14:val="tx1"/>
            </w14:solidFill>
          </w14:textFill>
        </w:rPr>
      </w:pPr>
      <w:bookmarkStart w:id="11" w:name="_Toc317864458"/>
      <w:r>
        <w:rPr>
          <w:rFonts w:hint="eastAsia"/>
          <w:b/>
          <w:color w:val="000000" w:themeColor="text1"/>
          <w:sz w:val="32"/>
          <w:szCs w:val="32"/>
          <w:highlight w:val="none"/>
          <w14:textFill>
            <w14:solidFill>
              <w14:schemeClr w14:val="tx1"/>
            </w14:solidFill>
          </w14:textFill>
        </w:rPr>
        <w:t>前   言</w:t>
      </w:r>
      <w:bookmarkEnd w:id="11"/>
    </w:p>
    <w:p w14:paraId="781BF6A5">
      <w:pPr>
        <w:pStyle w:val="19"/>
        <w:adjustRightInd w:val="0"/>
        <w:snapToGrid w:val="0"/>
        <w:spacing w:line="400" w:lineRule="exact"/>
        <w:rPr>
          <w:rFonts w:hAnsi="宋体"/>
          <w:color w:val="000000" w:themeColor="text1"/>
          <w:szCs w:val="21"/>
          <w:highlight w:val="none"/>
          <w14:textFill>
            <w14:solidFill>
              <w14:schemeClr w14:val="tx1"/>
            </w14:solidFill>
          </w14:textFill>
        </w:rPr>
      </w:pPr>
    </w:p>
    <w:p w14:paraId="59494ACF">
      <w:pPr>
        <w:pStyle w:val="19"/>
        <w:spacing w:line="360" w:lineRule="auto"/>
        <w:rPr>
          <w:rFonts w:hAnsi="宋体"/>
          <w:color w:val="000000" w:themeColor="text1"/>
          <w:szCs w:val="21"/>
          <w:highlight w:val="none"/>
          <w14:textFill>
            <w14:solidFill>
              <w14:schemeClr w14:val="tx1"/>
            </w14:solidFill>
          </w14:textFill>
        </w:rPr>
      </w:pPr>
    </w:p>
    <w:p w14:paraId="6BC7D292">
      <w:pPr>
        <w:pStyle w:val="19"/>
        <w:spacing w:line="360" w:lineRule="auto"/>
        <w:rPr>
          <w:rFonts w:hAnsi="宋体"/>
          <w:color w:val="000000" w:themeColor="text1"/>
          <w:szCs w:val="21"/>
          <w:highlight w:val="none"/>
          <w14:textFill>
            <w14:solidFill>
              <w14:schemeClr w14:val="tx1"/>
            </w14:solidFill>
          </w14:textFill>
        </w:rPr>
      </w:pPr>
      <w:r>
        <w:rPr>
          <w:rFonts w:hint="eastAsia" w:hAnsi="宋体"/>
          <w:color w:val="000000" w:themeColor="text1"/>
          <w:szCs w:val="21"/>
          <w:highlight w:val="none"/>
          <w14:textFill>
            <w14:solidFill>
              <w14:schemeClr w14:val="tx1"/>
            </w14:solidFill>
          </w14:textFill>
        </w:rPr>
        <w:t>本标准主编单位、主要起草人和主要审查人员：</w:t>
      </w:r>
    </w:p>
    <w:p w14:paraId="6BE6100A">
      <w:pPr>
        <w:pStyle w:val="19"/>
        <w:spacing w:line="360" w:lineRule="auto"/>
        <w:rPr>
          <w:rFonts w:hAnsi="宋体"/>
          <w:color w:val="000000" w:themeColor="text1"/>
          <w:szCs w:val="21"/>
          <w:highlight w:val="none"/>
          <w14:textFill>
            <w14:solidFill>
              <w14:schemeClr w14:val="tx1"/>
            </w14:solidFill>
          </w14:textFill>
        </w:rPr>
      </w:pPr>
      <w:r>
        <w:rPr>
          <w:rFonts w:hint="eastAsia" w:hAnsi="宋体"/>
          <w:color w:val="000000" w:themeColor="text1"/>
          <w:szCs w:val="21"/>
          <w:highlight w:val="none"/>
          <w14:textFill>
            <w14:solidFill>
              <w14:schemeClr w14:val="tx1"/>
            </w14:solidFill>
          </w14:textFill>
        </w:rPr>
        <w:t>主编单位：</w:t>
      </w:r>
    </w:p>
    <w:p w14:paraId="74024A23">
      <w:pPr>
        <w:pStyle w:val="19"/>
        <w:spacing w:line="360" w:lineRule="auto"/>
        <w:rPr>
          <w:rFonts w:hAnsi="宋体"/>
          <w:color w:val="000000" w:themeColor="text1"/>
          <w:szCs w:val="21"/>
          <w:highlight w:val="none"/>
          <w14:textFill>
            <w14:solidFill>
              <w14:schemeClr w14:val="tx1"/>
            </w14:solidFill>
          </w14:textFill>
        </w:rPr>
      </w:pPr>
      <w:r>
        <w:rPr>
          <w:rFonts w:hAnsi="宋体"/>
          <w:color w:val="000000" w:themeColor="text1"/>
          <w:szCs w:val="21"/>
          <w:highlight w:val="none"/>
          <w14:textFill>
            <w14:solidFill>
              <w14:schemeClr w14:val="tx1"/>
            </w14:solidFill>
          </w14:textFill>
        </w:rPr>
        <w:t>参编单位</w:t>
      </w:r>
      <w:r>
        <w:rPr>
          <w:rFonts w:hint="eastAsia" w:hAnsi="宋体"/>
          <w:color w:val="000000" w:themeColor="text1"/>
          <w:szCs w:val="21"/>
          <w:highlight w:val="none"/>
          <w14:textFill>
            <w14:solidFill>
              <w14:schemeClr w14:val="tx1"/>
            </w14:solidFill>
          </w14:textFill>
        </w:rPr>
        <w:t>：</w:t>
      </w:r>
    </w:p>
    <w:p w14:paraId="16E32052">
      <w:pPr>
        <w:pStyle w:val="19"/>
        <w:spacing w:line="360" w:lineRule="auto"/>
        <w:ind w:left="1680" w:leftChars="200" w:hanging="1260" w:hangingChars="600"/>
        <w:rPr>
          <w:rFonts w:hAnsi="宋体"/>
          <w:color w:val="000000" w:themeColor="text1"/>
          <w:szCs w:val="21"/>
          <w:highlight w:val="none"/>
          <w14:textFill>
            <w14:solidFill>
              <w14:schemeClr w14:val="tx1"/>
            </w14:solidFill>
          </w14:textFill>
        </w:rPr>
      </w:pPr>
      <w:r>
        <w:rPr>
          <w:rFonts w:hint="eastAsia" w:hAnsi="宋体"/>
          <w:color w:val="000000" w:themeColor="text1"/>
          <w:szCs w:val="21"/>
          <w:highlight w:val="none"/>
          <w14:textFill>
            <w14:solidFill>
              <w14:schemeClr w14:val="tx1"/>
            </w14:solidFill>
          </w14:textFill>
        </w:rPr>
        <w:t>主要起草人：</w:t>
      </w:r>
    </w:p>
    <w:p w14:paraId="225BAA28">
      <w:pPr>
        <w:widowControl/>
        <w:spacing w:line="360" w:lineRule="auto"/>
        <w:ind w:firstLine="420" w:firstLineChars="200"/>
        <w:jc w:val="left"/>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主要审查人</w:t>
      </w:r>
      <w:r>
        <w:rPr>
          <w:rFonts w:hint="eastAsia"/>
          <w:color w:val="000000" w:themeColor="text1"/>
          <w:szCs w:val="21"/>
          <w:highlight w:val="none"/>
          <w14:textFill>
            <w14:solidFill>
              <w14:schemeClr w14:val="tx1"/>
            </w14:solidFill>
          </w14:textFill>
        </w:rPr>
        <w:t>：</w:t>
      </w:r>
    </w:p>
    <w:p w14:paraId="22885F0C">
      <w:pPr>
        <w:pStyle w:val="10"/>
        <w:spacing w:before="78" w:after="78"/>
        <w:rPr>
          <w:rFonts w:ascii="Times New Roman"/>
          <w:color w:val="000000" w:themeColor="text1"/>
          <w:szCs w:val="24"/>
          <w:highlight w:val="none"/>
          <w:lang w:val="zh-CN"/>
          <w14:textFill>
            <w14:solidFill>
              <w14:schemeClr w14:val="tx1"/>
            </w14:solidFill>
          </w14:textFill>
        </w:rPr>
      </w:pPr>
    </w:p>
    <w:p w14:paraId="4D739E56">
      <w:pPr>
        <w:rPr>
          <w:highlight w:val="none"/>
          <w:lang w:val="zh-CN"/>
        </w:rPr>
        <w:sectPr>
          <w:headerReference r:id="rId7" w:type="default"/>
          <w:footerReference r:id="rId8" w:type="default"/>
          <w:footerReference r:id="rId9" w:type="even"/>
          <w:pgSz w:w="11906" w:h="16838"/>
          <w:pgMar w:top="1440" w:right="1800" w:bottom="1440" w:left="1800" w:header="851" w:footer="992" w:gutter="0"/>
          <w:pgNumType w:start="1"/>
          <w:cols w:space="425" w:num="1"/>
          <w:docGrid w:type="lines" w:linePitch="312" w:charSpace="0"/>
        </w:sectPr>
      </w:pPr>
    </w:p>
    <w:p w14:paraId="64B31437">
      <w:pPr>
        <w:jc w:val="center"/>
        <w:rPr>
          <w:rFonts w:hint="default" w:ascii="Times New Roman" w:hAnsi="Times New Roman" w:eastAsia="宋体"/>
          <w:b/>
          <w:bCs/>
          <w:sz w:val="28"/>
          <w:szCs w:val="28"/>
          <w:lang w:val="zh-CN"/>
        </w:rPr>
      </w:pPr>
      <w:r>
        <w:rPr>
          <w:rFonts w:hint="default"/>
          <w:b/>
          <w:bCs/>
          <w:sz w:val="28"/>
          <w:szCs w:val="28"/>
          <w:lang w:val="zh-CN"/>
        </w:rPr>
        <w:t>目</w:t>
      </w:r>
      <w:r>
        <w:rPr>
          <w:rFonts w:hint="default"/>
          <w:b/>
          <w:bCs/>
          <w:sz w:val="28"/>
          <w:szCs w:val="28"/>
        </w:rPr>
        <w:t xml:space="preserve">  </w:t>
      </w:r>
      <w:r>
        <w:rPr>
          <w:rFonts w:hint="default"/>
          <w:b/>
          <w:bCs/>
          <w:sz w:val="28"/>
          <w:szCs w:val="28"/>
          <w:lang w:val="zh-CN"/>
        </w:rPr>
        <w:t>录</w:t>
      </w:r>
    </w:p>
    <w:p w14:paraId="2B060875">
      <w:pPr>
        <w:jc w:val="center"/>
        <w:rPr>
          <w:rFonts w:hint="default" w:ascii="Times New Roman" w:hAnsi="Times New Roman" w:eastAsia="宋体"/>
          <w:b/>
          <w:bCs/>
          <w:sz w:val="28"/>
          <w:szCs w:val="28"/>
          <w:lang w:val="zh-CN"/>
        </w:rPr>
      </w:pPr>
    </w:p>
    <w:p w14:paraId="2724B758">
      <w:pPr>
        <w:pStyle w:val="10"/>
        <w:tabs>
          <w:tab w:val="right" w:leader="dot" w:pos="8306"/>
          <w:tab w:val="clear" w:pos="9242"/>
        </w:tabs>
      </w:pPr>
      <w:r>
        <w:fldChar w:fldCharType="begin"/>
      </w:r>
      <w:r>
        <w:instrText xml:space="preserve">TOC \o "1-2" \h \u </w:instrText>
      </w:r>
      <w:r>
        <w:fldChar w:fldCharType="separate"/>
      </w:r>
      <w:r>
        <w:fldChar w:fldCharType="begin"/>
      </w:r>
      <w:r>
        <w:instrText xml:space="preserve"> HYPERLINK \l _Toc18482 </w:instrText>
      </w:r>
      <w:r>
        <w:fldChar w:fldCharType="separate"/>
      </w:r>
      <w:r>
        <w:rPr>
          <w:rFonts w:hint="default"/>
        </w:rPr>
        <w:t>1 总则</w:t>
      </w:r>
      <w:r>
        <w:tab/>
      </w:r>
      <w:r>
        <w:fldChar w:fldCharType="begin"/>
      </w:r>
      <w:r>
        <w:instrText xml:space="preserve"> PAGEREF _Toc18482 \h </w:instrText>
      </w:r>
      <w:r>
        <w:fldChar w:fldCharType="separate"/>
      </w:r>
      <w:r>
        <w:t>2</w:t>
      </w:r>
      <w:r>
        <w:fldChar w:fldCharType="end"/>
      </w:r>
      <w:r>
        <w:fldChar w:fldCharType="end"/>
      </w:r>
    </w:p>
    <w:p w14:paraId="29133CD6">
      <w:pPr>
        <w:pStyle w:val="10"/>
        <w:tabs>
          <w:tab w:val="right" w:leader="dot" w:pos="8306"/>
          <w:tab w:val="clear" w:pos="9242"/>
        </w:tabs>
      </w:pPr>
      <w:r>
        <w:fldChar w:fldCharType="begin"/>
      </w:r>
      <w:r>
        <w:instrText xml:space="preserve"> HYPERLINK \l _Toc26020 </w:instrText>
      </w:r>
      <w:r>
        <w:fldChar w:fldCharType="separate"/>
      </w:r>
      <w:r>
        <w:rPr>
          <w:rFonts w:hint="default"/>
        </w:rPr>
        <w:t>2 术语</w:t>
      </w:r>
      <w:r>
        <w:tab/>
      </w:r>
      <w:r>
        <w:fldChar w:fldCharType="begin"/>
      </w:r>
      <w:r>
        <w:instrText xml:space="preserve"> PAGEREF _Toc26020 \h </w:instrText>
      </w:r>
      <w:r>
        <w:fldChar w:fldCharType="separate"/>
      </w:r>
      <w:r>
        <w:t>3</w:t>
      </w:r>
      <w:r>
        <w:fldChar w:fldCharType="end"/>
      </w:r>
      <w:r>
        <w:fldChar w:fldCharType="end"/>
      </w:r>
    </w:p>
    <w:p w14:paraId="7003EBA3">
      <w:pPr>
        <w:pStyle w:val="10"/>
        <w:tabs>
          <w:tab w:val="right" w:leader="dot" w:pos="8306"/>
          <w:tab w:val="clear" w:pos="9242"/>
        </w:tabs>
      </w:pPr>
      <w:r>
        <w:fldChar w:fldCharType="begin"/>
      </w:r>
      <w:r>
        <w:instrText xml:space="preserve"> HYPERLINK \l _Toc22301 </w:instrText>
      </w:r>
      <w:r>
        <w:fldChar w:fldCharType="separate"/>
      </w:r>
      <w:r>
        <w:rPr>
          <w:rFonts w:hint="default"/>
          <w:lang w:val="en-US" w:eastAsia="zh-CN"/>
        </w:rPr>
        <w:t>3</w:t>
      </w:r>
      <w:r>
        <w:rPr>
          <w:rFonts w:hint="default"/>
        </w:rPr>
        <w:t xml:space="preserve"> </w:t>
      </w:r>
      <w:r>
        <w:rPr>
          <w:rFonts w:hint="default"/>
          <w:lang w:val="en-US" w:eastAsia="zh-CN"/>
        </w:rPr>
        <w:t>总体技术方案</w:t>
      </w:r>
      <w:r>
        <w:tab/>
      </w:r>
      <w:r>
        <w:fldChar w:fldCharType="begin"/>
      </w:r>
      <w:r>
        <w:instrText xml:space="preserve"> PAGEREF _Toc22301 \h </w:instrText>
      </w:r>
      <w:r>
        <w:fldChar w:fldCharType="separate"/>
      </w:r>
      <w:r>
        <w:t>4</w:t>
      </w:r>
      <w:r>
        <w:fldChar w:fldCharType="end"/>
      </w:r>
      <w:r>
        <w:fldChar w:fldCharType="end"/>
      </w:r>
    </w:p>
    <w:p w14:paraId="15A34950">
      <w:pPr>
        <w:pStyle w:val="11"/>
        <w:tabs>
          <w:tab w:val="right" w:leader="dot" w:pos="8306"/>
          <w:tab w:val="clear" w:pos="9242"/>
        </w:tabs>
      </w:pPr>
      <w:r>
        <w:fldChar w:fldCharType="begin"/>
      </w:r>
      <w:r>
        <w:instrText xml:space="preserve"> HYPERLINK \l _Toc16564 </w:instrText>
      </w:r>
      <w:r>
        <w:fldChar w:fldCharType="separate"/>
      </w:r>
      <w:r>
        <w:rPr>
          <w:rFonts w:hint="default"/>
        </w:rPr>
        <w:t xml:space="preserve">3.1 </w:t>
      </w:r>
      <w:r>
        <w:rPr>
          <w:rFonts w:hint="default"/>
          <w:lang w:val="en-US" w:eastAsia="zh-CN"/>
        </w:rPr>
        <w:t>概述</w:t>
      </w:r>
      <w:r>
        <w:tab/>
      </w:r>
      <w:r>
        <w:fldChar w:fldCharType="begin"/>
      </w:r>
      <w:r>
        <w:instrText xml:space="preserve"> PAGEREF _Toc16564 \h </w:instrText>
      </w:r>
      <w:r>
        <w:fldChar w:fldCharType="separate"/>
      </w:r>
      <w:r>
        <w:t>4</w:t>
      </w:r>
      <w:r>
        <w:fldChar w:fldCharType="end"/>
      </w:r>
      <w:r>
        <w:fldChar w:fldCharType="end"/>
      </w:r>
    </w:p>
    <w:p w14:paraId="5837FFF5">
      <w:pPr>
        <w:pStyle w:val="11"/>
        <w:tabs>
          <w:tab w:val="right" w:leader="dot" w:pos="8306"/>
          <w:tab w:val="clear" w:pos="9242"/>
        </w:tabs>
      </w:pPr>
      <w:r>
        <w:fldChar w:fldCharType="begin"/>
      </w:r>
      <w:r>
        <w:instrText xml:space="preserve"> HYPERLINK \l _Toc14240 </w:instrText>
      </w:r>
      <w:r>
        <w:fldChar w:fldCharType="separate"/>
      </w:r>
      <w:r>
        <w:rPr>
          <w:rFonts w:hint="default"/>
        </w:rPr>
        <w:t>3.</w:t>
      </w:r>
      <w:r>
        <w:rPr>
          <w:rFonts w:hint="default"/>
          <w:lang w:val="en-US" w:eastAsia="zh-CN"/>
        </w:rPr>
        <w:t>2</w:t>
      </w:r>
      <w:r>
        <w:rPr>
          <w:rFonts w:hint="default"/>
        </w:rPr>
        <w:t xml:space="preserve"> </w:t>
      </w:r>
      <w:r>
        <w:rPr>
          <w:rFonts w:hint="default"/>
          <w:lang w:val="en-US" w:eastAsia="zh-CN"/>
        </w:rPr>
        <w:t>设计条件</w:t>
      </w:r>
      <w:r>
        <w:tab/>
      </w:r>
      <w:r>
        <w:fldChar w:fldCharType="begin"/>
      </w:r>
      <w:r>
        <w:instrText xml:space="preserve"> PAGEREF _Toc14240 \h </w:instrText>
      </w:r>
      <w:r>
        <w:fldChar w:fldCharType="separate"/>
      </w:r>
      <w:r>
        <w:t>4</w:t>
      </w:r>
      <w:r>
        <w:fldChar w:fldCharType="end"/>
      </w:r>
      <w:r>
        <w:fldChar w:fldCharType="end"/>
      </w:r>
    </w:p>
    <w:p w14:paraId="11C462B9">
      <w:pPr>
        <w:pStyle w:val="11"/>
        <w:tabs>
          <w:tab w:val="right" w:leader="dot" w:pos="8306"/>
          <w:tab w:val="clear" w:pos="9242"/>
        </w:tabs>
      </w:pPr>
      <w:r>
        <w:fldChar w:fldCharType="begin"/>
      </w:r>
      <w:r>
        <w:instrText xml:space="preserve"> HYPERLINK \l _Toc11960 </w:instrText>
      </w:r>
      <w:r>
        <w:fldChar w:fldCharType="separate"/>
      </w:r>
      <w:r>
        <w:rPr>
          <w:rFonts w:hint="default"/>
        </w:rPr>
        <w:t>3.</w:t>
      </w:r>
      <w:r>
        <w:rPr>
          <w:rFonts w:hint="default"/>
          <w:lang w:val="en-US" w:eastAsia="zh-CN"/>
        </w:rPr>
        <w:t>3</w:t>
      </w:r>
      <w:r>
        <w:rPr>
          <w:rFonts w:hint="default"/>
        </w:rPr>
        <w:t xml:space="preserve"> </w:t>
      </w:r>
      <w:r>
        <w:rPr>
          <w:rFonts w:hint="default"/>
          <w:lang w:val="en-US" w:eastAsia="zh-CN"/>
        </w:rPr>
        <w:t>总体技术要求</w:t>
      </w:r>
      <w:r>
        <w:tab/>
      </w:r>
      <w:r>
        <w:fldChar w:fldCharType="begin"/>
      </w:r>
      <w:r>
        <w:instrText xml:space="preserve"> PAGEREF _Toc11960 \h </w:instrText>
      </w:r>
      <w:r>
        <w:fldChar w:fldCharType="separate"/>
      </w:r>
      <w:r>
        <w:t>5</w:t>
      </w:r>
      <w:r>
        <w:fldChar w:fldCharType="end"/>
      </w:r>
      <w:r>
        <w:fldChar w:fldCharType="end"/>
      </w:r>
    </w:p>
    <w:p w14:paraId="20479494">
      <w:pPr>
        <w:pStyle w:val="10"/>
        <w:tabs>
          <w:tab w:val="right" w:leader="dot" w:pos="8306"/>
          <w:tab w:val="clear" w:pos="9242"/>
        </w:tabs>
      </w:pPr>
      <w:r>
        <w:fldChar w:fldCharType="begin"/>
      </w:r>
      <w:r>
        <w:instrText xml:space="preserve"> HYPERLINK \l _Toc4361 </w:instrText>
      </w:r>
      <w:r>
        <w:fldChar w:fldCharType="separate"/>
      </w:r>
      <w:r>
        <w:rPr>
          <w:rFonts w:hint="default"/>
          <w:lang w:val="en-US" w:eastAsia="zh-CN"/>
        </w:rPr>
        <w:t>4</w:t>
      </w:r>
      <w:r>
        <w:rPr>
          <w:rFonts w:hint="default"/>
        </w:rPr>
        <w:t xml:space="preserve"> </w:t>
      </w:r>
      <w:r>
        <w:rPr>
          <w:rFonts w:hint="default"/>
          <w:lang w:val="en-US" w:eastAsia="zh-CN"/>
        </w:rPr>
        <w:t>系统研究</w:t>
      </w:r>
      <w:r>
        <w:tab/>
      </w:r>
      <w:r>
        <w:fldChar w:fldCharType="begin"/>
      </w:r>
      <w:r>
        <w:instrText xml:space="preserve"> PAGEREF _Toc4361 \h </w:instrText>
      </w:r>
      <w:r>
        <w:fldChar w:fldCharType="separate"/>
      </w:r>
      <w:r>
        <w:t>9</w:t>
      </w:r>
      <w:r>
        <w:fldChar w:fldCharType="end"/>
      </w:r>
      <w:r>
        <w:fldChar w:fldCharType="end"/>
      </w:r>
    </w:p>
    <w:p w14:paraId="7D33CAED">
      <w:pPr>
        <w:pStyle w:val="11"/>
        <w:tabs>
          <w:tab w:val="right" w:leader="dot" w:pos="8306"/>
          <w:tab w:val="clear" w:pos="9242"/>
        </w:tabs>
      </w:pPr>
      <w:r>
        <w:fldChar w:fldCharType="begin"/>
      </w:r>
      <w:r>
        <w:instrText xml:space="preserve"> HYPERLINK \l _Toc16827 </w:instrText>
      </w:r>
      <w:r>
        <w:fldChar w:fldCharType="separate"/>
      </w:r>
      <w:r>
        <w:rPr>
          <w:rFonts w:hint="default"/>
          <w:lang w:val="en-US" w:eastAsia="zh-CN"/>
        </w:rPr>
        <w:t>4</w:t>
      </w:r>
      <w:r>
        <w:rPr>
          <w:rFonts w:hint="default"/>
        </w:rPr>
        <w:t xml:space="preserve">.1 </w:t>
      </w:r>
      <w:r>
        <w:rPr>
          <w:rFonts w:hint="default"/>
          <w:lang w:val="en-US" w:eastAsia="zh-CN"/>
        </w:rPr>
        <w:t>概述</w:t>
      </w:r>
      <w:r>
        <w:tab/>
      </w:r>
      <w:r>
        <w:fldChar w:fldCharType="begin"/>
      </w:r>
      <w:r>
        <w:instrText xml:space="preserve"> PAGEREF _Toc16827 \h </w:instrText>
      </w:r>
      <w:r>
        <w:fldChar w:fldCharType="separate"/>
      </w:r>
      <w:r>
        <w:t>9</w:t>
      </w:r>
      <w:r>
        <w:fldChar w:fldCharType="end"/>
      </w:r>
      <w:r>
        <w:fldChar w:fldCharType="end"/>
      </w:r>
    </w:p>
    <w:p w14:paraId="0E1DF58D">
      <w:pPr>
        <w:pStyle w:val="11"/>
        <w:tabs>
          <w:tab w:val="right" w:leader="dot" w:pos="8306"/>
          <w:tab w:val="clear" w:pos="9242"/>
        </w:tabs>
      </w:pPr>
      <w:r>
        <w:fldChar w:fldCharType="begin"/>
      </w:r>
      <w:r>
        <w:instrText xml:space="preserve"> HYPERLINK \l _Toc23907 </w:instrText>
      </w:r>
      <w:r>
        <w:fldChar w:fldCharType="separate"/>
      </w:r>
      <w:r>
        <w:rPr>
          <w:rFonts w:hint="default"/>
          <w:lang w:val="en-US" w:eastAsia="zh-CN"/>
        </w:rPr>
        <w:t>4</w:t>
      </w:r>
      <w:r>
        <w:rPr>
          <w:rFonts w:hint="default"/>
        </w:rPr>
        <w:t>.</w:t>
      </w:r>
      <w:r>
        <w:rPr>
          <w:rFonts w:hint="default"/>
          <w:lang w:val="en-US" w:eastAsia="zh-CN"/>
        </w:rPr>
        <w:t>2</w:t>
      </w:r>
      <w:r>
        <w:rPr>
          <w:rFonts w:hint="default"/>
        </w:rPr>
        <w:t xml:space="preserve"> </w:t>
      </w:r>
      <w:r>
        <w:rPr>
          <w:rFonts w:hint="default"/>
          <w:lang w:val="en-US" w:eastAsia="zh-CN"/>
        </w:rPr>
        <w:t>直流系统配置</w:t>
      </w:r>
      <w:r>
        <w:rPr>
          <w:rFonts w:hint="eastAsia"/>
          <w:lang w:val="en-US" w:eastAsia="zh-CN"/>
        </w:rPr>
        <w:t>研究</w:t>
      </w:r>
      <w:r>
        <w:tab/>
      </w:r>
      <w:r>
        <w:fldChar w:fldCharType="begin"/>
      </w:r>
      <w:r>
        <w:instrText xml:space="preserve"> PAGEREF _Toc23907 \h </w:instrText>
      </w:r>
      <w:r>
        <w:fldChar w:fldCharType="separate"/>
      </w:r>
      <w:r>
        <w:t>9</w:t>
      </w:r>
      <w:r>
        <w:fldChar w:fldCharType="end"/>
      </w:r>
      <w:r>
        <w:fldChar w:fldCharType="end"/>
      </w:r>
    </w:p>
    <w:p w14:paraId="2FD70B78">
      <w:pPr>
        <w:pStyle w:val="11"/>
        <w:tabs>
          <w:tab w:val="right" w:leader="dot" w:pos="8306"/>
          <w:tab w:val="clear" w:pos="9242"/>
        </w:tabs>
      </w:pPr>
      <w:r>
        <w:fldChar w:fldCharType="begin"/>
      </w:r>
      <w:r>
        <w:instrText xml:space="preserve"> HYPERLINK \l _Toc8988 </w:instrText>
      </w:r>
      <w:r>
        <w:fldChar w:fldCharType="separate"/>
      </w:r>
      <w:r>
        <w:rPr>
          <w:rFonts w:hint="default"/>
          <w:lang w:val="en-US" w:eastAsia="zh-CN"/>
        </w:rPr>
        <w:t>4.3 暂态电流研究</w:t>
      </w:r>
      <w:r>
        <w:tab/>
      </w:r>
      <w:r>
        <w:fldChar w:fldCharType="begin"/>
      </w:r>
      <w:r>
        <w:instrText xml:space="preserve"> PAGEREF _Toc8988 \h </w:instrText>
      </w:r>
      <w:r>
        <w:fldChar w:fldCharType="separate"/>
      </w:r>
      <w:r>
        <w:t>11</w:t>
      </w:r>
      <w:r>
        <w:fldChar w:fldCharType="end"/>
      </w:r>
      <w:r>
        <w:fldChar w:fldCharType="end"/>
      </w:r>
    </w:p>
    <w:p w14:paraId="24BF4D5E">
      <w:pPr>
        <w:pStyle w:val="11"/>
        <w:tabs>
          <w:tab w:val="right" w:leader="dot" w:pos="8306"/>
          <w:tab w:val="clear" w:pos="9242"/>
        </w:tabs>
      </w:pPr>
      <w:r>
        <w:fldChar w:fldCharType="begin"/>
      </w:r>
      <w:r>
        <w:instrText xml:space="preserve"> HYPERLINK \l _Toc25103 </w:instrText>
      </w:r>
      <w:r>
        <w:fldChar w:fldCharType="separate"/>
      </w:r>
      <w:r>
        <w:rPr>
          <w:rFonts w:hint="eastAsia"/>
          <w:lang w:val="en-US" w:eastAsia="zh-CN"/>
        </w:rPr>
        <w:t>4.4 交流系统接入相关研究</w:t>
      </w:r>
      <w:r>
        <w:tab/>
      </w:r>
      <w:r>
        <w:fldChar w:fldCharType="begin"/>
      </w:r>
      <w:r>
        <w:instrText xml:space="preserve"> PAGEREF _Toc25103 \h </w:instrText>
      </w:r>
      <w:r>
        <w:fldChar w:fldCharType="separate"/>
      </w:r>
      <w:r>
        <w:t>11</w:t>
      </w:r>
      <w:r>
        <w:fldChar w:fldCharType="end"/>
      </w:r>
      <w:r>
        <w:fldChar w:fldCharType="end"/>
      </w:r>
    </w:p>
    <w:p w14:paraId="61672D07">
      <w:pPr>
        <w:pStyle w:val="11"/>
        <w:tabs>
          <w:tab w:val="right" w:leader="dot" w:pos="8306"/>
          <w:tab w:val="clear" w:pos="9242"/>
        </w:tabs>
      </w:pPr>
      <w:r>
        <w:fldChar w:fldCharType="begin"/>
      </w:r>
      <w:r>
        <w:instrText xml:space="preserve"> HYPERLINK \l _Toc9805 </w:instrText>
      </w:r>
      <w:r>
        <w:fldChar w:fldCharType="separate"/>
      </w:r>
      <w:r>
        <w:rPr>
          <w:rFonts w:hint="default"/>
          <w:lang w:val="en-US" w:eastAsia="zh-CN"/>
        </w:rPr>
        <w:t>4.5</w:t>
      </w:r>
      <w:r>
        <w:rPr>
          <w:rFonts w:hint="eastAsia"/>
          <w:lang w:val="en-US" w:eastAsia="zh-CN"/>
        </w:rPr>
        <w:t xml:space="preserve"> </w:t>
      </w:r>
      <w:r>
        <w:rPr>
          <w:rFonts w:hint="default"/>
          <w:lang w:val="en-US" w:eastAsia="zh-CN"/>
        </w:rPr>
        <w:t>谐波抑制研究</w:t>
      </w:r>
      <w:r>
        <w:tab/>
      </w:r>
      <w:r>
        <w:fldChar w:fldCharType="begin"/>
      </w:r>
      <w:r>
        <w:instrText xml:space="preserve"> PAGEREF _Toc9805 \h </w:instrText>
      </w:r>
      <w:r>
        <w:fldChar w:fldCharType="separate"/>
      </w:r>
      <w:r>
        <w:t>13</w:t>
      </w:r>
      <w:r>
        <w:fldChar w:fldCharType="end"/>
      </w:r>
      <w:r>
        <w:fldChar w:fldCharType="end"/>
      </w:r>
    </w:p>
    <w:p w14:paraId="2E725B78">
      <w:pPr>
        <w:pStyle w:val="11"/>
        <w:tabs>
          <w:tab w:val="right" w:leader="dot" w:pos="8306"/>
          <w:tab w:val="clear" w:pos="9242"/>
        </w:tabs>
      </w:pPr>
      <w:r>
        <w:fldChar w:fldCharType="begin"/>
      </w:r>
      <w:r>
        <w:instrText xml:space="preserve"> HYPERLINK \l _Toc510 </w:instrText>
      </w:r>
      <w:r>
        <w:fldChar w:fldCharType="separate"/>
      </w:r>
      <w:r>
        <w:rPr>
          <w:rFonts w:hint="default"/>
          <w:lang w:val="en-US" w:eastAsia="zh-CN"/>
        </w:rPr>
        <w:t>4.6 绝缘配合相关研究</w:t>
      </w:r>
      <w:r>
        <w:tab/>
      </w:r>
      <w:r>
        <w:fldChar w:fldCharType="begin"/>
      </w:r>
      <w:r>
        <w:instrText xml:space="preserve"> PAGEREF _Toc510 \h </w:instrText>
      </w:r>
      <w:r>
        <w:fldChar w:fldCharType="separate"/>
      </w:r>
      <w:r>
        <w:t>14</w:t>
      </w:r>
      <w:r>
        <w:fldChar w:fldCharType="end"/>
      </w:r>
      <w:r>
        <w:fldChar w:fldCharType="end"/>
      </w:r>
    </w:p>
    <w:p w14:paraId="5F67B2F0">
      <w:pPr>
        <w:pStyle w:val="11"/>
        <w:tabs>
          <w:tab w:val="right" w:leader="dot" w:pos="8306"/>
          <w:tab w:val="clear" w:pos="9242"/>
        </w:tabs>
      </w:pPr>
      <w:r>
        <w:fldChar w:fldCharType="begin"/>
      </w:r>
      <w:r>
        <w:instrText xml:space="preserve"> HYPERLINK \l _Toc12955 </w:instrText>
      </w:r>
      <w:r>
        <w:fldChar w:fldCharType="separate"/>
      </w:r>
      <w:r>
        <w:rPr>
          <w:rFonts w:hint="eastAsia"/>
          <w:lang w:val="en-US" w:eastAsia="zh-CN"/>
        </w:rPr>
        <w:t>4.7 直流性能相关研究</w:t>
      </w:r>
      <w:r>
        <w:tab/>
      </w:r>
      <w:r>
        <w:fldChar w:fldCharType="begin"/>
      </w:r>
      <w:r>
        <w:instrText xml:space="preserve"> PAGEREF _Toc12955 \h </w:instrText>
      </w:r>
      <w:r>
        <w:fldChar w:fldCharType="separate"/>
      </w:r>
      <w:r>
        <w:t>16</w:t>
      </w:r>
      <w:r>
        <w:fldChar w:fldCharType="end"/>
      </w:r>
      <w:r>
        <w:fldChar w:fldCharType="end"/>
      </w:r>
    </w:p>
    <w:p w14:paraId="765F8FFF">
      <w:pPr>
        <w:pStyle w:val="11"/>
        <w:tabs>
          <w:tab w:val="right" w:leader="dot" w:pos="8306"/>
          <w:tab w:val="clear" w:pos="9242"/>
        </w:tabs>
      </w:pPr>
      <w:r>
        <w:fldChar w:fldCharType="begin"/>
      </w:r>
      <w:r>
        <w:instrText xml:space="preserve"> HYPERLINK \l _Toc24291 </w:instrText>
      </w:r>
      <w:r>
        <w:fldChar w:fldCharType="separate"/>
      </w:r>
      <w:r>
        <w:rPr>
          <w:rFonts w:hint="eastAsia"/>
          <w:lang w:val="en-US" w:eastAsia="zh-CN"/>
        </w:rPr>
        <w:t>4.8 交直流谐振研究</w:t>
      </w:r>
      <w:r>
        <w:tab/>
      </w:r>
      <w:r>
        <w:fldChar w:fldCharType="begin"/>
      </w:r>
      <w:r>
        <w:instrText xml:space="preserve"> PAGEREF _Toc24291 \h </w:instrText>
      </w:r>
      <w:r>
        <w:fldChar w:fldCharType="separate"/>
      </w:r>
      <w:r>
        <w:t>17</w:t>
      </w:r>
      <w:r>
        <w:fldChar w:fldCharType="end"/>
      </w:r>
      <w:r>
        <w:fldChar w:fldCharType="end"/>
      </w:r>
    </w:p>
    <w:p w14:paraId="09280D8C">
      <w:pPr>
        <w:pStyle w:val="11"/>
        <w:tabs>
          <w:tab w:val="right" w:leader="dot" w:pos="8306"/>
          <w:tab w:val="clear" w:pos="9242"/>
        </w:tabs>
      </w:pPr>
      <w:r>
        <w:fldChar w:fldCharType="begin"/>
      </w:r>
      <w:r>
        <w:instrText xml:space="preserve"> HYPERLINK \l _Toc17441 </w:instrText>
      </w:r>
      <w:r>
        <w:fldChar w:fldCharType="separate"/>
      </w:r>
      <w:r>
        <w:rPr>
          <w:rFonts w:hint="default"/>
          <w:lang w:val="en-US" w:eastAsia="zh-CN"/>
        </w:rPr>
        <w:t>4.9 交直流故障穿越研究</w:t>
      </w:r>
      <w:r>
        <w:tab/>
      </w:r>
      <w:r>
        <w:fldChar w:fldCharType="begin"/>
      </w:r>
      <w:r>
        <w:instrText xml:space="preserve"> PAGEREF _Toc17441 \h </w:instrText>
      </w:r>
      <w:r>
        <w:fldChar w:fldCharType="separate"/>
      </w:r>
      <w:r>
        <w:t>18</w:t>
      </w:r>
      <w:r>
        <w:fldChar w:fldCharType="end"/>
      </w:r>
      <w:r>
        <w:fldChar w:fldCharType="end"/>
      </w:r>
    </w:p>
    <w:p w14:paraId="557383C6">
      <w:pPr>
        <w:pStyle w:val="11"/>
        <w:tabs>
          <w:tab w:val="right" w:leader="dot" w:pos="8306"/>
          <w:tab w:val="clear" w:pos="9242"/>
        </w:tabs>
      </w:pPr>
      <w:r>
        <w:fldChar w:fldCharType="begin"/>
      </w:r>
      <w:r>
        <w:instrText xml:space="preserve"> HYPERLINK \l _Toc10457 </w:instrText>
      </w:r>
      <w:r>
        <w:fldChar w:fldCharType="separate"/>
      </w:r>
      <w:r>
        <w:rPr>
          <w:rFonts w:hint="default"/>
          <w:lang w:val="en-US" w:eastAsia="zh-CN"/>
        </w:rPr>
        <w:t>4.10 成套设备要求研究</w:t>
      </w:r>
      <w:r>
        <w:tab/>
      </w:r>
      <w:r>
        <w:fldChar w:fldCharType="begin"/>
      </w:r>
      <w:r>
        <w:instrText xml:space="preserve"> PAGEREF _Toc10457 \h </w:instrText>
      </w:r>
      <w:r>
        <w:fldChar w:fldCharType="separate"/>
      </w:r>
      <w:r>
        <w:t>19</w:t>
      </w:r>
      <w:r>
        <w:fldChar w:fldCharType="end"/>
      </w:r>
      <w:r>
        <w:fldChar w:fldCharType="end"/>
      </w:r>
    </w:p>
    <w:p w14:paraId="30486869">
      <w:pPr>
        <w:pStyle w:val="11"/>
        <w:tabs>
          <w:tab w:val="right" w:leader="dot" w:pos="8306"/>
          <w:tab w:val="clear" w:pos="9242"/>
        </w:tabs>
      </w:pPr>
      <w:r>
        <w:fldChar w:fldCharType="begin"/>
      </w:r>
      <w:r>
        <w:instrText xml:space="preserve"> HYPERLINK \l _Toc1356 </w:instrText>
      </w:r>
      <w:r>
        <w:fldChar w:fldCharType="separate"/>
      </w:r>
      <w:r>
        <w:rPr>
          <w:rFonts w:hint="eastAsia"/>
          <w:lang w:val="en-US" w:eastAsia="zh-CN"/>
        </w:rPr>
        <w:t>4.11 直流控制</w:t>
      </w:r>
      <w:r>
        <w:rPr>
          <w:rFonts w:hint="default"/>
          <w:lang w:val="en-US" w:eastAsia="zh-CN"/>
        </w:rPr>
        <w:t>保护</w:t>
      </w:r>
      <w:r>
        <w:rPr>
          <w:rFonts w:hint="eastAsia"/>
          <w:lang w:val="en-US" w:eastAsia="zh-CN"/>
        </w:rPr>
        <w:t>策略与保护定值研究</w:t>
      </w:r>
      <w:r>
        <w:tab/>
      </w:r>
      <w:r>
        <w:fldChar w:fldCharType="begin"/>
      </w:r>
      <w:r>
        <w:instrText xml:space="preserve"> PAGEREF _Toc1356 \h </w:instrText>
      </w:r>
      <w:r>
        <w:fldChar w:fldCharType="separate"/>
      </w:r>
      <w:r>
        <w:t>21</w:t>
      </w:r>
      <w:r>
        <w:fldChar w:fldCharType="end"/>
      </w:r>
      <w:r>
        <w:fldChar w:fldCharType="end"/>
      </w:r>
    </w:p>
    <w:p w14:paraId="42A21B16">
      <w:pPr>
        <w:pStyle w:val="10"/>
        <w:tabs>
          <w:tab w:val="right" w:leader="dot" w:pos="8306"/>
          <w:tab w:val="clear" w:pos="9242"/>
        </w:tabs>
      </w:pPr>
      <w:r>
        <w:fldChar w:fldCharType="begin"/>
      </w:r>
      <w:r>
        <w:instrText xml:space="preserve"> HYPERLINK \l _Toc14415 </w:instrText>
      </w:r>
      <w:r>
        <w:fldChar w:fldCharType="separate"/>
      </w:r>
      <w:r>
        <w:rPr>
          <w:rFonts w:hint="default"/>
          <w:lang w:val="en-US" w:eastAsia="zh-CN"/>
        </w:rPr>
        <w:t>5 成套设备规范</w:t>
      </w:r>
      <w:r>
        <w:tab/>
      </w:r>
      <w:r>
        <w:fldChar w:fldCharType="begin"/>
      </w:r>
      <w:r>
        <w:instrText xml:space="preserve"> PAGEREF _Toc14415 \h </w:instrText>
      </w:r>
      <w:r>
        <w:fldChar w:fldCharType="separate"/>
      </w:r>
      <w:r>
        <w:t>23</w:t>
      </w:r>
      <w:r>
        <w:fldChar w:fldCharType="end"/>
      </w:r>
      <w:r>
        <w:fldChar w:fldCharType="end"/>
      </w:r>
    </w:p>
    <w:p w14:paraId="65135DAF">
      <w:pPr>
        <w:pStyle w:val="11"/>
        <w:tabs>
          <w:tab w:val="right" w:leader="dot" w:pos="8306"/>
          <w:tab w:val="clear" w:pos="9242"/>
        </w:tabs>
      </w:pPr>
      <w:r>
        <w:fldChar w:fldCharType="begin"/>
      </w:r>
      <w:r>
        <w:instrText xml:space="preserve"> HYPERLINK \l _Toc19877 </w:instrText>
      </w:r>
      <w:r>
        <w:fldChar w:fldCharType="separate"/>
      </w:r>
      <w:r>
        <w:rPr>
          <w:rFonts w:hint="default"/>
          <w:lang w:val="en-US" w:eastAsia="zh-CN"/>
        </w:rPr>
        <w:t>5.1 成套设备范围</w:t>
      </w:r>
      <w:r>
        <w:tab/>
      </w:r>
      <w:r>
        <w:fldChar w:fldCharType="begin"/>
      </w:r>
      <w:r>
        <w:instrText xml:space="preserve"> PAGEREF _Toc19877 \h </w:instrText>
      </w:r>
      <w:r>
        <w:fldChar w:fldCharType="separate"/>
      </w:r>
      <w:r>
        <w:t>23</w:t>
      </w:r>
      <w:r>
        <w:fldChar w:fldCharType="end"/>
      </w:r>
      <w:r>
        <w:fldChar w:fldCharType="end"/>
      </w:r>
    </w:p>
    <w:p w14:paraId="3484F995">
      <w:pPr>
        <w:pStyle w:val="11"/>
        <w:tabs>
          <w:tab w:val="right" w:leader="dot" w:pos="8306"/>
          <w:tab w:val="clear" w:pos="9242"/>
        </w:tabs>
      </w:pPr>
      <w:r>
        <w:fldChar w:fldCharType="begin"/>
      </w:r>
      <w:r>
        <w:instrText xml:space="preserve"> HYPERLINK \l _Toc11318 </w:instrText>
      </w:r>
      <w:r>
        <w:fldChar w:fldCharType="separate"/>
      </w:r>
      <w:r>
        <w:rPr>
          <w:rFonts w:hint="default"/>
          <w:lang w:val="en-US" w:eastAsia="zh-CN"/>
        </w:rPr>
        <w:t>5.2 成套设备规范一般要求</w:t>
      </w:r>
      <w:r>
        <w:tab/>
      </w:r>
      <w:r>
        <w:fldChar w:fldCharType="begin"/>
      </w:r>
      <w:r>
        <w:instrText xml:space="preserve"> PAGEREF _Toc11318 \h </w:instrText>
      </w:r>
      <w:r>
        <w:fldChar w:fldCharType="separate"/>
      </w:r>
      <w:r>
        <w:t>23</w:t>
      </w:r>
      <w:r>
        <w:fldChar w:fldCharType="end"/>
      </w:r>
      <w:r>
        <w:fldChar w:fldCharType="end"/>
      </w:r>
    </w:p>
    <w:p w14:paraId="0139623B">
      <w:pPr>
        <w:pStyle w:val="11"/>
        <w:tabs>
          <w:tab w:val="right" w:leader="dot" w:pos="8306"/>
          <w:tab w:val="clear" w:pos="9242"/>
        </w:tabs>
      </w:pPr>
      <w:r>
        <w:fldChar w:fldCharType="begin"/>
      </w:r>
      <w:r>
        <w:instrText xml:space="preserve"> HYPERLINK \l _Toc30646 </w:instrText>
      </w:r>
      <w:r>
        <w:fldChar w:fldCharType="separate"/>
      </w:r>
      <w:r>
        <w:rPr>
          <w:rFonts w:hint="default"/>
          <w:lang w:val="en-US" w:eastAsia="zh-CN"/>
        </w:rPr>
        <w:t>5.3 成套设备规范详细要求</w:t>
      </w:r>
      <w:r>
        <w:tab/>
      </w:r>
      <w:r>
        <w:fldChar w:fldCharType="begin"/>
      </w:r>
      <w:r>
        <w:instrText xml:space="preserve"> PAGEREF _Toc30646 \h </w:instrText>
      </w:r>
      <w:r>
        <w:fldChar w:fldCharType="separate"/>
      </w:r>
      <w:r>
        <w:t>23</w:t>
      </w:r>
      <w:r>
        <w:fldChar w:fldCharType="end"/>
      </w:r>
      <w:r>
        <w:fldChar w:fldCharType="end"/>
      </w:r>
    </w:p>
    <w:p w14:paraId="0BBC561C">
      <w:pPr>
        <w:pStyle w:val="10"/>
        <w:tabs>
          <w:tab w:val="right" w:leader="dot" w:pos="8306"/>
          <w:tab w:val="clear" w:pos="9242"/>
        </w:tabs>
      </w:pPr>
      <w:r>
        <w:fldChar w:fldCharType="begin"/>
      </w:r>
      <w:r>
        <w:instrText xml:space="preserve"> HYPERLINK \l _Toc22218 </w:instrText>
      </w:r>
      <w:r>
        <w:fldChar w:fldCharType="separate"/>
      </w:r>
      <w:r>
        <w:rPr>
          <w:rFonts w:hint="default"/>
          <w:lang w:val="en-US" w:eastAsia="zh-CN"/>
        </w:rPr>
        <w:t>6 仿真试验</w:t>
      </w:r>
      <w:r>
        <w:tab/>
      </w:r>
      <w:r>
        <w:fldChar w:fldCharType="begin"/>
      </w:r>
      <w:r>
        <w:instrText xml:space="preserve"> PAGEREF _Toc22218 \h </w:instrText>
      </w:r>
      <w:r>
        <w:fldChar w:fldCharType="separate"/>
      </w:r>
      <w:r>
        <w:t>26</w:t>
      </w:r>
      <w:r>
        <w:fldChar w:fldCharType="end"/>
      </w:r>
      <w:r>
        <w:fldChar w:fldCharType="end"/>
      </w:r>
    </w:p>
    <w:p w14:paraId="582B9AEB">
      <w:pPr>
        <w:pStyle w:val="11"/>
        <w:tabs>
          <w:tab w:val="right" w:leader="dot" w:pos="8306"/>
          <w:tab w:val="clear" w:pos="9242"/>
        </w:tabs>
      </w:pPr>
      <w:r>
        <w:fldChar w:fldCharType="begin"/>
      </w:r>
      <w:r>
        <w:instrText xml:space="preserve"> HYPERLINK \l _Toc20292 </w:instrText>
      </w:r>
      <w:r>
        <w:fldChar w:fldCharType="separate"/>
      </w:r>
      <w:r>
        <w:rPr>
          <w:rFonts w:hint="default"/>
          <w:lang w:val="en-US" w:eastAsia="zh-CN"/>
        </w:rPr>
        <w:t>6.1 概述</w:t>
      </w:r>
      <w:r>
        <w:tab/>
      </w:r>
      <w:r>
        <w:fldChar w:fldCharType="begin"/>
      </w:r>
      <w:r>
        <w:instrText xml:space="preserve"> PAGEREF _Toc20292 \h </w:instrText>
      </w:r>
      <w:r>
        <w:fldChar w:fldCharType="separate"/>
      </w:r>
      <w:r>
        <w:t>26</w:t>
      </w:r>
      <w:r>
        <w:fldChar w:fldCharType="end"/>
      </w:r>
      <w:r>
        <w:fldChar w:fldCharType="end"/>
      </w:r>
    </w:p>
    <w:p w14:paraId="5BA8C627">
      <w:pPr>
        <w:pStyle w:val="11"/>
        <w:tabs>
          <w:tab w:val="right" w:leader="dot" w:pos="8306"/>
          <w:tab w:val="clear" w:pos="9242"/>
        </w:tabs>
      </w:pPr>
      <w:r>
        <w:fldChar w:fldCharType="begin"/>
      </w:r>
      <w:r>
        <w:instrText xml:space="preserve"> HYPERLINK \l _Toc21862 </w:instrText>
      </w:r>
      <w:r>
        <w:fldChar w:fldCharType="separate"/>
      </w:r>
      <w:r>
        <w:rPr>
          <w:rFonts w:hint="default"/>
          <w:lang w:val="en-US" w:eastAsia="zh-CN"/>
        </w:rPr>
        <w:t>6.2 直流控制保护功能试验</w:t>
      </w:r>
      <w:r>
        <w:tab/>
      </w:r>
      <w:r>
        <w:fldChar w:fldCharType="begin"/>
      </w:r>
      <w:r>
        <w:instrText xml:space="preserve"> PAGEREF _Toc21862 \h </w:instrText>
      </w:r>
      <w:r>
        <w:fldChar w:fldCharType="separate"/>
      </w:r>
      <w:r>
        <w:t>26</w:t>
      </w:r>
      <w:r>
        <w:fldChar w:fldCharType="end"/>
      </w:r>
      <w:r>
        <w:fldChar w:fldCharType="end"/>
      </w:r>
    </w:p>
    <w:p w14:paraId="53BCD31E">
      <w:pPr>
        <w:pStyle w:val="11"/>
        <w:tabs>
          <w:tab w:val="right" w:leader="dot" w:pos="8306"/>
          <w:tab w:val="clear" w:pos="9242"/>
        </w:tabs>
      </w:pPr>
      <w:r>
        <w:fldChar w:fldCharType="begin"/>
      </w:r>
      <w:r>
        <w:instrText xml:space="preserve"> HYPERLINK \l _Toc8760 </w:instrText>
      </w:r>
      <w:r>
        <w:fldChar w:fldCharType="separate"/>
      </w:r>
      <w:r>
        <w:rPr>
          <w:rFonts w:hint="default"/>
          <w:lang w:val="en-US" w:eastAsia="zh-CN"/>
        </w:rPr>
        <w:t>6.</w:t>
      </w:r>
      <w:r>
        <w:rPr>
          <w:rFonts w:hint="eastAsia"/>
          <w:lang w:val="en-US" w:eastAsia="zh-CN"/>
        </w:rPr>
        <w:t>3</w:t>
      </w:r>
      <w:r>
        <w:rPr>
          <w:rFonts w:hint="default"/>
          <w:lang w:val="en-US" w:eastAsia="zh-CN"/>
        </w:rPr>
        <w:t xml:space="preserve"> 直流控制保护动态性能试验</w:t>
      </w:r>
      <w:r>
        <w:tab/>
      </w:r>
      <w:r>
        <w:fldChar w:fldCharType="begin"/>
      </w:r>
      <w:r>
        <w:instrText xml:space="preserve"> PAGEREF _Toc8760 \h </w:instrText>
      </w:r>
      <w:r>
        <w:fldChar w:fldCharType="separate"/>
      </w:r>
      <w:r>
        <w:t>26</w:t>
      </w:r>
      <w:r>
        <w:fldChar w:fldCharType="end"/>
      </w:r>
      <w:r>
        <w:fldChar w:fldCharType="end"/>
      </w:r>
    </w:p>
    <w:p w14:paraId="269B39EC">
      <w:pPr>
        <w:pStyle w:val="11"/>
        <w:tabs>
          <w:tab w:val="right" w:leader="dot" w:pos="8306"/>
          <w:tab w:val="clear" w:pos="9242"/>
        </w:tabs>
      </w:pPr>
      <w:r>
        <w:fldChar w:fldCharType="begin"/>
      </w:r>
      <w:r>
        <w:instrText xml:space="preserve"> HYPERLINK \l _Toc21579 </w:instrText>
      </w:r>
      <w:r>
        <w:fldChar w:fldCharType="separate"/>
      </w:r>
      <w:r>
        <w:rPr>
          <w:rFonts w:hint="default"/>
          <w:lang w:val="en-US" w:eastAsia="zh-CN"/>
        </w:rPr>
        <w:t>6.4 阀控功能性能试验</w:t>
      </w:r>
      <w:r>
        <w:tab/>
      </w:r>
      <w:r>
        <w:fldChar w:fldCharType="begin"/>
      </w:r>
      <w:r>
        <w:instrText xml:space="preserve"> PAGEREF _Toc21579 \h </w:instrText>
      </w:r>
      <w:r>
        <w:fldChar w:fldCharType="separate"/>
      </w:r>
      <w:r>
        <w:t>27</w:t>
      </w:r>
      <w:r>
        <w:fldChar w:fldCharType="end"/>
      </w:r>
      <w:r>
        <w:fldChar w:fldCharType="end"/>
      </w:r>
    </w:p>
    <w:p w14:paraId="3358BB73">
      <w:pPr>
        <w:pStyle w:val="11"/>
        <w:tabs>
          <w:tab w:val="right" w:leader="dot" w:pos="8306"/>
          <w:tab w:val="clear" w:pos="9242"/>
        </w:tabs>
      </w:pPr>
      <w:r>
        <w:fldChar w:fldCharType="begin"/>
      </w:r>
      <w:r>
        <w:instrText xml:space="preserve"> HYPERLINK \l _Toc4585 </w:instrText>
      </w:r>
      <w:r>
        <w:fldChar w:fldCharType="separate"/>
      </w:r>
      <w:r>
        <w:rPr>
          <w:rFonts w:hint="default"/>
          <w:lang w:val="en-US" w:eastAsia="zh-CN"/>
        </w:rPr>
        <w:t>6.5 试验报告要求</w:t>
      </w:r>
      <w:r>
        <w:tab/>
      </w:r>
      <w:r>
        <w:fldChar w:fldCharType="begin"/>
      </w:r>
      <w:r>
        <w:instrText xml:space="preserve"> PAGEREF _Toc4585 \h </w:instrText>
      </w:r>
      <w:r>
        <w:fldChar w:fldCharType="separate"/>
      </w:r>
      <w:r>
        <w:t>28</w:t>
      </w:r>
      <w:r>
        <w:fldChar w:fldCharType="end"/>
      </w:r>
      <w:r>
        <w:fldChar w:fldCharType="end"/>
      </w:r>
    </w:p>
    <w:p w14:paraId="516AD583">
      <w:pPr>
        <w:tabs>
          <w:tab w:val="right" w:leader="dot" w:pos="8306"/>
        </w:tabs>
        <w:rPr>
          <w:rFonts w:hint="default" w:ascii="Times New Roman" w:hAnsi="Times New Roman" w:cs="Times New Roman"/>
          <w:bCs/>
          <w:color w:val="000000" w:themeColor="text1"/>
          <w:sz w:val="28"/>
          <w:szCs w:val="36"/>
          <w:highlight w:val="none"/>
          <w:lang w:val="zh-CN"/>
          <w14:textFill>
            <w14:solidFill>
              <w14:schemeClr w14:val="tx1"/>
            </w14:solidFill>
          </w14:textFill>
        </w:rPr>
      </w:pPr>
      <w:r>
        <w:fldChar w:fldCharType="end"/>
      </w:r>
      <w:r>
        <w:rPr>
          <w:rFonts w:hint="default" w:ascii="Times New Roman" w:hAnsi="Times New Roman" w:cs="Times New Roman"/>
          <w:bCs/>
          <w:color w:val="000000" w:themeColor="text1"/>
          <w:sz w:val="28"/>
          <w:szCs w:val="36"/>
          <w:highlight w:val="none"/>
          <w:lang w:val="zh-CN"/>
          <w14:textFill>
            <w14:solidFill>
              <w14:schemeClr w14:val="tx1"/>
            </w14:solidFill>
          </w14:textFill>
        </w:rPr>
        <w:br w:type="page"/>
      </w:r>
    </w:p>
    <w:p w14:paraId="59679D54">
      <w:pPr>
        <w:pStyle w:val="2"/>
      </w:pPr>
      <w:bookmarkStart w:id="12" w:name="_Toc26178"/>
      <w:bookmarkStart w:id="13" w:name="_Toc18850"/>
      <w:bookmarkStart w:id="14" w:name="_Toc14644"/>
      <w:bookmarkStart w:id="15" w:name="_Toc26520"/>
      <w:bookmarkStart w:id="16" w:name="_Toc26495"/>
      <w:bookmarkStart w:id="17" w:name="_Toc11084"/>
      <w:bookmarkStart w:id="18" w:name="_Toc31061"/>
      <w:bookmarkStart w:id="19" w:name="_Toc24672"/>
      <w:bookmarkStart w:id="20" w:name="_Toc18019"/>
      <w:bookmarkStart w:id="21" w:name="_Toc17019"/>
      <w:bookmarkStart w:id="22" w:name="_Toc18482"/>
      <w:bookmarkStart w:id="23" w:name="_Toc21408"/>
      <w:bookmarkStart w:id="24" w:name="_Toc11677"/>
      <w:bookmarkStart w:id="25" w:name="_Toc28425"/>
      <w:bookmarkStart w:id="26" w:name="_Toc10467"/>
      <w:bookmarkStart w:id="27" w:name="_Toc30162"/>
      <w:r>
        <w:rPr>
          <w:rFonts w:hint="default"/>
        </w:rPr>
        <w:t>1 总则</w:t>
      </w:r>
      <w:bookmarkEnd w:id="0"/>
      <w:bookmarkEnd w:id="1"/>
      <w:bookmarkEnd w:id="2"/>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p>
    <w:p w14:paraId="4C8EBA0B">
      <w:pPr>
        <w:rPr>
          <w:rFonts w:hint="default"/>
          <w:sz w:val="21"/>
          <w:szCs w:val="21"/>
          <w:lang w:val="en-US" w:eastAsia="zh-CN"/>
        </w:rPr>
      </w:pPr>
      <w:r>
        <w:rPr>
          <w:color w:val="000000"/>
          <w:sz w:val="21"/>
          <w:szCs w:val="21"/>
        </w:rPr>
        <w:t xml:space="preserve">1.0.1 </w:t>
      </w:r>
      <w:r>
        <w:rPr>
          <w:rFonts w:hint="default"/>
          <w:color w:val="000000"/>
          <w:sz w:val="21"/>
          <w:szCs w:val="21"/>
          <w:lang w:val="en-US" w:eastAsia="zh-CN"/>
        </w:rPr>
        <w:t>为</w:t>
      </w:r>
      <w:r>
        <w:rPr>
          <w:rFonts w:hint="default" w:ascii="Times New Roman" w:hAnsi="Times New Roman"/>
          <w:sz w:val="21"/>
          <w:szCs w:val="21"/>
          <w:lang w:val="en-US" w:eastAsia="zh-CN"/>
        </w:rPr>
        <w:t>适应直流输电工程发展的需要、</w:t>
      </w:r>
      <w:r>
        <w:rPr>
          <w:rFonts w:hint="default"/>
          <w:color w:val="000000"/>
          <w:sz w:val="21"/>
          <w:szCs w:val="21"/>
          <w:lang w:val="en-US" w:eastAsia="zh-CN"/>
        </w:rPr>
        <w:t>规范</w:t>
      </w:r>
      <w:r>
        <w:rPr>
          <w:rFonts w:hint="default"/>
          <w:sz w:val="21"/>
          <w:szCs w:val="21"/>
          <w:lang w:val="en-US" w:eastAsia="zh-CN"/>
        </w:rPr>
        <w:t>直流输电工程成套设计内容深度</w:t>
      </w:r>
      <w:r>
        <w:rPr>
          <w:rFonts w:hint="default" w:ascii="Times New Roman" w:hAnsi="Times New Roman"/>
          <w:sz w:val="21"/>
          <w:szCs w:val="21"/>
          <w:lang w:val="en-US" w:eastAsia="zh-CN"/>
        </w:rPr>
        <w:t>，</w:t>
      </w:r>
      <w:r>
        <w:rPr>
          <w:rFonts w:hint="default"/>
          <w:sz w:val="21"/>
          <w:szCs w:val="21"/>
          <w:lang w:val="en-US" w:eastAsia="zh-CN"/>
        </w:rPr>
        <w:t>保证电力系统的安全、稳定、优质和经济运行，特制定本标准。</w:t>
      </w:r>
    </w:p>
    <w:p w14:paraId="1F5C51AD">
      <w:pPr>
        <w:rPr>
          <w:rFonts w:hint="default"/>
          <w:sz w:val="21"/>
          <w:szCs w:val="21"/>
          <w:lang w:val="en-US" w:eastAsia="zh-CN"/>
        </w:rPr>
      </w:pPr>
      <w:r>
        <w:rPr>
          <w:color w:val="000000"/>
          <w:sz w:val="21"/>
          <w:szCs w:val="21"/>
        </w:rPr>
        <w:t>1.0.</w:t>
      </w:r>
      <w:r>
        <w:rPr>
          <w:rFonts w:hint="default"/>
          <w:color w:val="000000"/>
          <w:sz w:val="21"/>
          <w:szCs w:val="21"/>
          <w:lang w:val="en-US" w:eastAsia="zh-CN"/>
        </w:rPr>
        <w:t xml:space="preserve">2 </w:t>
      </w:r>
      <w:r>
        <w:rPr>
          <w:rFonts w:hint="default"/>
          <w:sz w:val="21"/>
          <w:szCs w:val="21"/>
          <w:lang w:val="en-US" w:eastAsia="zh-CN"/>
        </w:rPr>
        <w:t>本标准规定了直流输电工程成套设计的基本内容和各项设计内容应达到的深度。</w:t>
      </w:r>
    </w:p>
    <w:p w14:paraId="44FCBAB3">
      <w:pPr>
        <w:rPr>
          <w:color w:val="000000"/>
          <w:sz w:val="21"/>
          <w:szCs w:val="21"/>
        </w:rPr>
      </w:pPr>
      <w:r>
        <w:rPr>
          <w:color w:val="000000"/>
          <w:sz w:val="21"/>
          <w:szCs w:val="21"/>
        </w:rPr>
        <w:t>1.0.</w:t>
      </w:r>
      <w:r>
        <w:rPr>
          <w:rFonts w:hint="default"/>
          <w:color w:val="000000"/>
          <w:sz w:val="21"/>
          <w:szCs w:val="21"/>
          <w:lang w:val="en-US" w:eastAsia="zh-CN"/>
        </w:rPr>
        <w:t>3</w:t>
      </w:r>
      <w:r>
        <w:rPr>
          <w:color w:val="000000"/>
          <w:sz w:val="21"/>
          <w:szCs w:val="21"/>
        </w:rPr>
        <w:t xml:space="preserve"> </w:t>
      </w:r>
      <w:r>
        <w:rPr>
          <w:rFonts w:hint="default"/>
          <w:color w:val="000000"/>
          <w:sz w:val="21"/>
          <w:szCs w:val="21"/>
        </w:rPr>
        <w:t>本标准适用于±100kV及以上电压等级的直流输电工程成套设计。</w:t>
      </w:r>
    </w:p>
    <w:p w14:paraId="34471588">
      <w:pPr>
        <w:rPr>
          <w:rFonts w:hint="default"/>
          <w:color w:val="000000"/>
          <w:sz w:val="21"/>
          <w:szCs w:val="21"/>
        </w:rPr>
      </w:pPr>
      <w:r>
        <w:rPr>
          <w:color w:val="000000"/>
          <w:sz w:val="21"/>
          <w:szCs w:val="21"/>
        </w:rPr>
        <w:t>1.0.</w:t>
      </w:r>
      <w:r>
        <w:rPr>
          <w:rFonts w:hint="default"/>
          <w:color w:val="000000"/>
          <w:sz w:val="21"/>
          <w:szCs w:val="21"/>
          <w:lang w:val="en-US" w:eastAsia="zh-CN"/>
        </w:rPr>
        <w:t>4</w:t>
      </w:r>
      <w:r>
        <w:rPr>
          <w:color w:val="000000"/>
          <w:sz w:val="21"/>
          <w:szCs w:val="21"/>
        </w:rPr>
        <w:t xml:space="preserve"> </w:t>
      </w:r>
      <w:r>
        <w:rPr>
          <w:rFonts w:hint="default"/>
          <w:sz w:val="21"/>
          <w:szCs w:val="21"/>
          <w:lang w:val="en-US" w:eastAsia="zh-CN"/>
        </w:rPr>
        <w:t>直流输电工程成套设计</w:t>
      </w:r>
      <w:r>
        <w:rPr>
          <w:rFonts w:hint="default"/>
          <w:color w:val="000000"/>
          <w:sz w:val="21"/>
          <w:szCs w:val="21"/>
        </w:rPr>
        <w:t>除应符合本标准外，尚应符合国家和电力行业有关标准的规定。</w:t>
      </w:r>
    </w:p>
    <w:p w14:paraId="4AB3B054">
      <w:pPr>
        <w:rPr>
          <w:rFonts w:hint="default"/>
          <w:color w:val="000000"/>
          <w:sz w:val="21"/>
          <w:szCs w:val="21"/>
        </w:rPr>
      </w:pPr>
      <w:r>
        <w:rPr>
          <w:color w:val="000000"/>
          <w:sz w:val="21"/>
          <w:szCs w:val="21"/>
        </w:rPr>
        <w:t>1.0.</w:t>
      </w:r>
      <w:r>
        <w:rPr>
          <w:rFonts w:hint="default"/>
          <w:color w:val="000000"/>
          <w:sz w:val="21"/>
          <w:szCs w:val="21"/>
          <w:lang w:val="en-US" w:eastAsia="zh-CN"/>
        </w:rPr>
        <w:t>5</w:t>
      </w:r>
      <w:r>
        <w:rPr>
          <w:color w:val="000000"/>
          <w:sz w:val="21"/>
          <w:szCs w:val="21"/>
        </w:rPr>
        <w:t xml:space="preserve"> </w:t>
      </w:r>
      <w:r>
        <w:rPr>
          <w:rFonts w:hint="default"/>
          <w:sz w:val="21"/>
          <w:szCs w:val="21"/>
          <w:lang w:val="en-US" w:eastAsia="zh-CN"/>
        </w:rPr>
        <w:t>直流输电工程成套设计</w:t>
      </w:r>
      <w:r>
        <w:rPr>
          <w:rFonts w:hint="default"/>
          <w:color w:val="000000"/>
          <w:sz w:val="21"/>
          <w:szCs w:val="21"/>
          <w:lang w:val="en-US" w:eastAsia="zh-CN"/>
        </w:rPr>
        <w:t>应能为编制和审批直流输电工程的初步设计、施工图设计、调试提供技术依据</w:t>
      </w:r>
      <w:r>
        <w:rPr>
          <w:rFonts w:hint="default"/>
          <w:color w:val="000000"/>
          <w:sz w:val="21"/>
          <w:szCs w:val="21"/>
        </w:rPr>
        <w:t>。</w:t>
      </w:r>
    </w:p>
    <w:p w14:paraId="4A1C3FE7">
      <w:pPr>
        <w:rPr>
          <w:rFonts w:hint="default"/>
          <w:sz w:val="21"/>
          <w:szCs w:val="21"/>
          <w:lang w:val="en-US" w:eastAsia="zh-CN"/>
        </w:rPr>
      </w:pPr>
      <w:r>
        <w:rPr>
          <w:rFonts w:hint="default"/>
          <w:color w:val="000000"/>
          <w:sz w:val="21"/>
          <w:szCs w:val="21"/>
          <w:lang w:val="en-US" w:eastAsia="zh-CN"/>
        </w:rPr>
        <w:t xml:space="preserve">1.0.6 </w:t>
      </w:r>
      <w:r>
        <w:rPr>
          <w:rFonts w:hint="default"/>
          <w:sz w:val="21"/>
          <w:szCs w:val="21"/>
          <w:lang w:val="en-US" w:eastAsia="zh-CN"/>
        </w:rPr>
        <w:t>直流输电工程成套设计的内容包括：</w:t>
      </w:r>
    </w:p>
    <w:p w14:paraId="1105DA7E">
      <w:pPr>
        <w:ind w:firstLine="420" w:firstLineChars="200"/>
        <w:rPr>
          <w:rFonts w:hint="default"/>
          <w:sz w:val="21"/>
          <w:szCs w:val="21"/>
          <w:lang w:val="en-US" w:eastAsia="zh-CN"/>
        </w:rPr>
      </w:pPr>
      <w:r>
        <w:rPr>
          <w:rFonts w:hint="default"/>
          <w:sz w:val="21"/>
          <w:szCs w:val="21"/>
          <w:lang w:val="en-US" w:eastAsia="zh-CN"/>
        </w:rPr>
        <w:t>1 总体技术方案</w:t>
      </w:r>
    </w:p>
    <w:p w14:paraId="5F1DBFC5">
      <w:pPr>
        <w:ind w:firstLine="420" w:firstLineChars="200"/>
        <w:rPr>
          <w:rFonts w:hint="default"/>
          <w:color w:val="000000"/>
          <w:sz w:val="21"/>
          <w:szCs w:val="21"/>
          <w:lang w:val="en-US" w:eastAsia="zh-CN"/>
        </w:rPr>
      </w:pPr>
      <w:r>
        <w:rPr>
          <w:rFonts w:hint="default"/>
          <w:sz w:val="21"/>
          <w:szCs w:val="21"/>
          <w:lang w:val="en-US" w:eastAsia="zh-CN"/>
        </w:rPr>
        <w:t xml:space="preserve">2 </w:t>
      </w:r>
      <w:r>
        <w:rPr>
          <w:rFonts w:hint="default"/>
          <w:color w:val="000000"/>
          <w:sz w:val="21"/>
          <w:szCs w:val="21"/>
          <w:lang w:val="en-US" w:eastAsia="zh-CN"/>
        </w:rPr>
        <w:t>系统研究</w:t>
      </w:r>
    </w:p>
    <w:p w14:paraId="72CABEEE">
      <w:pPr>
        <w:ind w:firstLine="420" w:firstLineChars="200"/>
        <w:rPr>
          <w:rFonts w:hint="default"/>
          <w:color w:val="000000"/>
          <w:sz w:val="21"/>
          <w:szCs w:val="21"/>
          <w:lang w:val="en-US" w:eastAsia="zh-CN"/>
        </w:rPr>
      </w:pPr>
      <w:r>
        <w:rPr>
          <w:rFonts w:hint="default"/>
          <w:color w:val="000000"/>
          <w:sz w:val="21"/>
          <w:szCs w:val="21"/>
          <w:lang w:val="en-US" w:eastAsia="zh-CN"/>
        </w:rPr>
        <w:t>3 成套设备规范</w:t>
      </w:r>
    </w:p>
    <w:p w14:paraId="1F9F23FB">
      <w:pPr>
        <w:ind w:firstLine="420" w:firstLineChars="200"/>
        <w:rPr>
          <w:rFonts w:hint="default"/>
          <w:color w:val="000000"/>
          <w:sz w:val="21"/>
          <w:szCs w:val="21"/>
          <w:lang w:val="en-US" w:eastAsia="zh-CN"/>
        </w:rPr>
      </w:pPr>
      <w:r>
        <w:rPr>
          <w:rFonts w:hint="default"/>
          <w:color w:val="000000"/>
          <w:sz w:val="21"/>
          <w:szCs w:val="21"/>
          <w:lang w:val="en-US" w:eastAsia="zh-CN"/>
        </w:rPr>
        <w:t>4 仿真试验</w:t>
      </w:r>
    </w:p>
    <w:p w14:paraId="53FE6A17">
      <w:pPr>
        <w:rPr>
          <w:rFonts w:hint="default"/>
          <w:sz w:val="21"/>
          <w:szCs w:val="21"/>
          <w:lang w:val="en-US" w:eastAsia="zh-CN"/>
        </w:rPr>
      </w:pPr>
      <w:r>
        <w:rPr>
          <w:rFonts w:hint="default"/>
          <w:color w:val="000000"/>
          <w:sz w:val="21"/>
          <w:szCs w:val="21"/>
          <w:lang w:val="en-US" w:eastAsia="zh-CN"/>
        </w:rPr>
        <w:t xml:space="preserve">1.0.7 </w:t>
      </w:r>
      <w:r>
        <w:rPr>
          <w:rFonts w:hint="default"/>
          <w:sz w:val="21"/>
          <w:szCs w:val="21"/>
          <w:lang w:val="en-US" w:eastAsia="zh-CN"/>
        </w:rPr>
        <w:t>直流输电工程成套设计的深度应满足以下基本要求：</w:t>
      </w:r>
    </w:p>
    <w:p w14:paraId="2CA8B485">
      <w:pPr>
        <w:ind w:firstLine="420" w:firstLineChars="200"/>
        <w:rPr>
          <w:rFonts w:hint="default" w:ascii="Times New Roman" w:hAnsi="Times New Roman" w:eastAsia="宋体"/>
          <w:sz w:val="21"/>
          <w:szCs w:val="21"/>
          <w:highlight w:val="none"/>
          <w:lang w:val="en-US" w:eastAsia="zh-CN"/>
        </w:rPr>
      </w:pPr>
      <w:r>
        <w:rPr>
          <w:rFonts w:hint="default" w:ascii="Times New Roman" w:hAnsi="Times New Roman" w:eastAsia="宋体"/>
          <w:sz w:val="21"/>
          <w:szCs w:val="21"/>
          <w:highlight w:val="none"/>
          <w:lang w:val="en-US" w:eastAsia="zh-CN"/>
        </w:rPr>
        <w:t>1 直流系统设计方案的确定</w:t>
      </w:r>
    </w:p>
    <w:p w14:paraId="6CDEC241">
      <w:pPr>
        <w:ind w:firstLine="420" w:firstLineChars="200"/>
        <w:rPr>
          <w:rFonts w:hint="default" w:ascii="Times New Roman" w:hAnsi="Times New Roman" w:eastAsia="宋体"/>
          <w:sz w:val="21"/>
          <w:szCs w:val="21"/>
          <w:highlight w:val="none"/>
          <w:lang w:val="en-US" w:eastAsia="zh-CN"/>
        </w:rPr>
      </w:pPr>
      <w:r>
        <w:rPr>
          <w:rFonts w:hint="default" w:ascii="Times New Roman" w:hAnsi="Times New Roman" w:eastAsia="宋体"/>
          <w:sz w:val="21"/>
          <w:szCs w:val="21"/>
          <w:highlight w:val="none"/>
          <w:lang w:val="en-US" w:eastAsia="zh-CN"/>
        </w:rPr>
        <w:t>2 设备选型的确定</w:t>
      </w:r>
    </w:p>
    <w:p w14:paraId="38918AB5">
      <w:pPr>
        <w:ind w:firstLine="420" w:firstLineChars="200"/>
        <w:rPr>
          <w:rFonts w:hint="default" w:ascii="Times New Roman" w:hAnsi="Times New Roman" w:eastAsia="宋体"/>
          <w:sz w:val="21"/>
          <w:szCs w:val="21"/>
          <w:highlight w:val="none"/>
          <w:lang w:val="en-US" w:eastAsia="zh-CN"/>
        </w:rPr>
      </w:pPr>
      <w:r>
        <w:rPr>
          <w:rFonts w:hint="default" w:ascii="Times New Roman" w:hAnsi="Times New Roman" w:eastAsia="宋体"/>
          <w:sz w:val="21"/>
          <w:szCs w:val="21"/>
          <w:highlight w:val="none"/>
          <w:lang w:val="en-US" w:eastAsia="zh-CN"/>
        </w:rPr>
        <w:t xml:space="preserve">3 </w:t>
      </w:r>
      <w:r>
        <w:rPr>
          <w:rFonts w:hint="eastAsia"/>
          <w:sz w:val="21"/>
          <w:szCs w:val="21"/>
          <w:highlight w:val="none"/>
          <w:lang w:val="en-US" w:eastAsia="zh-CN"/>
        </w:rPr>
        <w:t>支撑</w:t>
      </w:r>
      <w:r>
        <w:rPr>
          <w:rFonts w:hint="default" w:ascii="Times New Roman" w:hAnsi="Times New Roman" w:eastAsia="宋体"/>
          <w:sz w:val="21"/>
          <w:szCs w:val="21"/>
          <w:highlight w:val="none"/>
          <w:lang w:val="en-US" w:eastAsia="zh-CN"/>
        </w:rPr>
        <w:t>初步设计（成套范围）的编制</w:t>
      </w:r>
    </w:p>
    <w:p w14:paraId="40680A1E">
      <w:pPr>
        <w:ind w:firstLine="420" w:firstLineChars="200"/>
        <w:rPr>
          <w:rFonts w:hint="default" w:ascii="Times New Roman" w:hAnsi="Times New Roman" w:eastAsia="宋体"/>
          <w:strike w:val="0"/>
          <w:sz w:val="21"/>
          <w:szCs w:val="21"/>
          <w:highlight w:val="none"/>
          <w:lang w:val="en-US" w:eastAsia="zh-CN"/>
        </w:rPr>
      </w:pPr>
      <w:r>
        <w:rPr>
          <w:rFonts w:hint="default" w:ascii="Times New Roman" w:hAnsi="Times New Roman" w:eastAsia="宋体"/>
          <w:strike w:val="0"/>
          <w:sz w:val="21"/>
          <w:szCs w:val="21"/>
          <w:highlight w:val="none"/>
          <w:lang w:val="en-US" w:eastAsia="zh-CN"/>
        </w:rPr>
        <w:t xml:space="preserve">4 </w:t>
      </w:r>
      <w:r>
        <w:rPr>
          <w:rFonts w:hint="eastAsia"/>
          <w:strike w:val="0"/>
          <w:sz w:val="21"/>
          <w:szCs w:val="21"/>
          <w:highlight w:val="none"/>
          <w:lang w:val="en-US" w:eastAsia="zh-CN"/>
        </w:rPr>
        <w:t>支撑</w:t>
      </w:r>
      <w:r>
        <w:rPr>
          <w:rFonts w:hint="default" w:ascii="Times New Roman" w:hAnsi="Times New Roman" w:eastAsia="宋体"/>
          <w:strike w:val="0"/>
          <w:sz w:val="21"/>
          <w:szCs w:val="21"/>
          <w:highlight w:val="none"/>
          <w:lang w:val="en-US" w:eastAsia="zh-CN"/>
        </w:rPr>
        <w:t>施工图设计（成套范围）的编制</w:t>
      </w:r>
    </w:p>
    <w:p w14:paraId="0A90D896">
      <w:pPr>
        <w:ind w:firstLine="420" w:firstLineChars="200"/>
        <w:rPr>
          <w:rFonts w:hint="default" w:ascii="Times New Roman" w:hAnsi="Times New Roman" w:eastAsia="宋体"/>
          <w:strike w:val="0"/>
          <w:sz w:val="21"/>
          <w:szCs w:val="21"/>
          <w:highlight w:val="none"/>
          <w:lang w:val="en-US" w:eastAsia="zh-CN"/>
        </w:rPr>
      </w:pPr>
      <w:r>
        <w:rPr>
          <w:rFonts w:hint="default" w:ascii="Times New Roman" w:hAnsi="Times New Roman" w:eastAsia="宋体"/>
          <w:strike w:val="0"/>
          <w:sz w:val="21"/>
          <w:szCs w:val="21"/>
          <w:highlight w:val="none"/>
          <w:lang w:val="en-US" w:eastAsia="zh-CN"/>
        </w:rPr>
        <w:t xml:space="preserve">5 </w:t>
      </w:r>
      <w:r>
        <w:rPr>
          <w:rFonts w:hint="eastAsia"/>
          <w:strike w:val="0"/>
          <w:sz w:val="21"/>
          <w:szCs w:val="21"/>
          <w:highlight w:val="none"/>
          <w:lang w:val="en-US" w:eastAsia="zh-CN"/>
        </w:rPr>
        <w:t>支撑系统</w:t>
      </w:r>
      <w:r>
        <w:rPr>
          <w:rFonts w:hint="default" w:ascii="Times New Roman" w:hAnsi="Times New Roman" w:eastAsia="宋体"/>
          <w:strike w:val="0"/>
          <w:sz w:val="21"/>
          <w:szCs w:val="21"/>
          <w:highlight w:val="none"/>
          <w:lang w:val="en-US" w:eastAsia="zh-CN"/>
        </w:rPr>
        <w:t>调试方案的确定</w:t>
      </w:r>
    </w:p>
    <w:p w14:paraId="22AF6814">
      <w:pPr>
        <w:outlineLvl w:val="2"/>
        <w:rPr>
          <w:rFonts w:hint="default" w:ascii="Times New Roman" w:hAnsi="Times New Roman" w:eastAsia="宋体"/>
          <w:color w:val="000000"/>
          <w:sz w:val="21"/>
          <w:szCs w:val="21"/>
          <w:lang w:val="en-US" w:eastAsia="zh-CN"/>
        </w:rPr>
      </w:pPr>
      <w:r>
        <w:rPr>
          <w:rFonts w:hint="eastAsia"/>
          <w:color w:val="000000"/>
          <w:sz w:val="21"/>
          <w:szCs w:val="21"/>
          <w:lang w:val="en-US" w:eastAsia="zh-CN"/>
        </w:rPr>
        <w:t>1</w:t>
      </w:r>
      <w:r>
        <w:rPr>
          <w:rFonts w:hint="default" w:ascii="Times New Roman" w:hAnsi="Times New Roman" w:eastAsia="宋体"/>
          <w:color w:val="000000"/>
          <w:sz w:val="21"/>
          <w:szCs w:val="21"/>
        </w:rPr>
        <w:t>.</w:t>
      </w:r>
      <w:r>
        <w:rPr>
          <w:rFonts w:hint="eastAsia"/>
          <w:color w:val="000000"/>
          <w:sz w:val="21"/>
          <w:szCs w:val="21"/>
          <w:lang w:val="en-US" w:eastAsia="zh-CN"/>
        </w:rPr>
        <w:t>0</w:t>
      </w:r>
      <w:r>
        <w:rPr>
          <w:rFonts w:ascii="Times New Roman" w:hAnsi="Times New Roman" w:eastAsia="宋体"/>
          <w:color w:val="000000"/>
          <w:sz w:val="21"/>
          <w:szCs w:val="21"/>
        </w:rPr>
        <w:t>.</w:t>
      </w:r>
      <w:r>
        <w:rPr>
          <w:rFonts w:hint="eastAsia"/>
          <w:color w:val="000000"/>
          <w:sz w:val="21"/>
          <w:szCs w:val="21"/>
          <w:lang w:val="en-US" w:eastAsia="zh-CN"/>
        </w:rPr>
        <w:t>8</w:t>
      </w:r>
      <w:r>
        <w:rPr>
          <w:rFonts w:ascii="Times New Roman" w:hAnsi="Times New Roman" w:eastAsia="宋体"/>
          <w:color w:val="000000"/>
          <w:sz w:val="21"/>
          <w:szCs w:val="21"/>
        </w:rPr>
        <w:t xml:space="preserve"> </w:t>
      </w:r>
      <w:r>
        <w:rPr>
          <w:rFonts w:hint="eastAsia"/>
          <w:color w:val="000000"/>
          <w:sz w:val="21"/>
          <w:szCs w:val="21"/>
          <w:lang w:val="en-US" w:eastAsia="zh-CN"/>
        </w:rPr>
        <w:t>成套</w:t>
      </w:r>
      <w:r>
        <w:rPr>
          <w:rFonts w:hint="default" w:ascii="Times New Roman" w:hAnsi="Times New Roman" w:eastAsia="宋体"/>
          <w:color w:val="000000"/>
          <w:sz w:val="21"/>
          <w:szCs w:val="21"/>
          <w:lang w:val="en-US" w:eastAsia="zh-CN"/>
        </w:rPr>
        <w:t>设计</w:t>
      </w:r>
      <w:r>
        <w:rPr>
          <w:rFonts w:hint="eastAsia"/>
          <w:color w:val="000000"/>
          <w:sz w:val="21"/>
          <w:szCs w:val="21"/>
          <w:lang w:val="en-US" w:eastAsia="zh-CN"/>
        </w:rPr>
        <w:t>与工程设计的</w:t>
      </w:r>
      <w:r>
        <w:rPr>
          <w:rFonts w:hint="default" w:ascii="Times New Roman" w:hAnsi="Times New Roman" w:eastAsia="宋体"/>
          <w:color w:val="000000"/>
          <w:sz w:val="21"/>
          <w:szCs w:val="21"/>
          <w:lang w:val="en-US" w:eastAsia="zh-CN"/>
        </w:rPr>
        <w:t>接口</w:t>
      </w:r>
    </w:p>
    <w:p w14:paraId="7F92A3E2">
      <w:pPr>
        <w:ind w:firstLine="420" w:firstLineChars="200"/>
        <w:outlineLvl w:val="2"/>
        <w:rPr>
          <w:rFonts w:hint="eastAsia"/>
          <w:color w:val="000000"/>
          <w:sz w:val="21"/>
          <w:szCs w:val="21"/>
          <w:lang w:val="en-US" w:eastAsia="zh-CN"/>
        </w:rPr>
      </w:pPr>
      <w:r>
        <w:rPr>
          <w:rFonts w:hint="default" w:ascii="Times New Roman" w:hAnsi="Times New Roman" w:eastAsia="宋体"/>
          <w:sz w:val="21"/>
          <w:szCs w:val="21"/>
          <w:lang w:val="en-US" w:eastAsia="zh-CN"/>
        </w:rPr>
        <w:t xml:space="preserve">1 </w:t>
      </w:r>
      <w:r>
        <w:rPr>
          <w:rFonts w:hint="eastAsia"/>
          <w:color w:val="000000"/>
          <w:sz w:val="21"/>
          <w:szCs w:val="21"/>
          <w:lang w:val="en-US" w:eastAsia="zh-CN"/>
        </w:rPr>
        <w:t>成套设计单位依据工程设计单位提供的建设规模、站址条件、交流系统条件、环境条件、运输条件、直流线路和接地极线路参数等基本设计条件，开展直流工程的成套设计。</w:t>
      </w:r>
    </w:p>
    <w:p w14:paraId="35DE6006">
      <w:pPr>
        <w:ind w:firstLine="420" w:firstLineChars="200"/>
        <w:outlineLvl w:val="2"/>
        <w:rPr>
          <w:rFonts w:hint="default" w:ascii="Times New Roman" w:hAnsi="Times New Roman" w:eastAsia="宋体"/>
          <w:color w:val="000000"/>
          <w:sz w:val="21"/>
          <w:szCs w:val="21"/>
          <w:lang w:val="en-US" w:eastAsia="zh-CN"/>
        </w:rPr>
      </w:pPr>
      <w:r>
        <w:rPr>
          <w:rFonts w:hint="eastAsia"/>
          <w:sz w:val="21"/>
          <w:szCs w:val="21"/>
          <w:lang w:val="en-US" w:eastAsia="zh-CN"/>
        </w:rPr>
        <w:t>2</w:t>
      </w:r>
      <w:r>
        <w:rPr>
          <w:rFonts w:hint="default" w:ascii="Times New Roman" w:hAnsi="Times New Roman" w:eastAsia="宋体"/>
          <w:sz w:val="21"/>
          <w:szCs w:val="21"/>
          <w:lang w:val="en-US" w:eastAsia="zh-CN"/>
        </w:rPr>
        <w:t xml:space="preserve"> </w:t>
      </w:r>
      <w:r>
        <w:rPr>
          <w:rFonts w:hint="eastAsia"/>
          <w:color w:val="000000"/>
          <w:sz w:val="21"/>
          <w:szCs w:val="21"/>
          <w:lang w:val="en-US" w:eastAsia="zh-CN"/>
        </w:rPr>
        <w:t>工程设计单位应依据成套设计单位提供的电气主接线、主回路参数、过电压与绝缘配合等系统研究结论和设备选型开展换流站和线路的（预）初步设计和施工图设计。</w:t>
      </w:r>
    </w:p>
    <w:p w14:paraId="77D42F4A">
      <w:pPr>
        <w:ind w:firstLine="0" w:firstLineChars="0"/>
        <w:rPr>
          <w:rFonts w:hint="default" w:ascii="Times New Roman" w:hAnsi="Times New Roman" w:eastAsia="宋体"/>
          <w:sz w:val="21"/>
          <w:szCs w:val="21"/>
        </w:rPr>
      </w:pPr>
      <w:r>
        <w:rPr>
          <w:rFonts w:hint="default" w:ascii="Times New Roman" w:hAnsi="Times New Roman" w:eastAsia="宋体"/>
          <w:sz w:val="21"/>
          <w:szCs w:val="21"/>
        </w:rPr>
        <w:br w:type="page"/>
      </w:r>
    </w:p>
    <w:p w14:paraId="094384B9">
      <w:pPr>
        <w:pStyle w:val="2"/>
      </w:pPr>
      <w:bookmarkStart w:id="28" w:name="_Toc1878"/>
      <w:bookmarkStart w:id="29" w:name="_Toc22966"/>
      <w:bookmarkStart w:id="30" w:name="_Toc3881"/>
      <w:bookmarkStart w:id="31" w:name="_Toc26020"/>
      <w:bookmarkStart w:id="32" w:name="_Toc7498"/>
      <w:bookmarkStart w:id="33" w:name="_Toc5031"/>
      <w:bookmarkStart w:id="34" w:name="_Toc9245"/>
      <w:bookmarkStart w:id="35" w:name="_Toc21160"/>
      <w:bookmarkStart w:id="36" w:name="_Toc6928"/>
      <w:bookmarkStart w:id="37" w:name="_Toc22093"/>
      <w:bookmarkStart w:id="38" w:name="_Toc6289"/>
      <w:bookmarkStart w:id="39" w:name="_Toc8368"/>
      <w:bookmarkStart w:id="40" w:name="_Toc9368"/>
      <w:bookmarkStart w:id="41" w:name="_Toc22578"/>
      <w:bookmarkStart w:id="42" w:name="_Toc5152"/>
      <w:bookmarkStart w:id="43" w:name="_Toc31293"/>
      <w:r>
        <w:rPr>
          <w:rFonts w:hint="default"/>
        </w:rPr>
        <w:t>2 术语</w:t>
      </w:r>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p>
    <w:p w14:paraId="30D7CEE5">
      <w:pPr>
        <w:rPr>
          <w:rFonts w:hint="default"/>
          <w:color w:val="000000"/>
          <w:sz w:val="21"/>
          <w:szCs w:val="21"/>
          <w:lang w:val="en-US" w:eastAsia="zh-CN"/>
        </w:rPr>
      </w:pPr>
      <w:bookmarkStart w:id="44" w:name="_Toc156296606"/>
      <w:r>
        <w:rPr>
          <w:rFonts w:hint="default"/>
          <w:color w:val="000000"/>
          <w:sz w:val="21"/>
          <w:szCs w:val="21"/>
          <w:lang w:val="en-US" w:eastAsia="zh-CN"/>
        </w:rPr>
        <w:t>2.0.1 直流工程成套设计（HVDC Project Integrated Design）</w:t>
      </w:r>
    </w:p>
    <w:p w14:paraId="7113F40E">
      <w:pPr>
        <w:ind w:firstLine="420"/>
        <w:rPr>
          <w:rFonts w:ascii="Times New Roman" w:hAnsi="Times New Roman" w:eastAsia="宋体"/>
          <w:sz w:val="21"/>
          <w:szCs w:val="21"/>
          <w:lang w:val="en-US" w:eastAsia="zh-CN"/>
        </w:rPr>
      </w:pPr>
      <w:r>
        <w:rPr>
          <w:rFonts w:hint="default" w:ascii="Times New Roman" w:hAnsi="Times New Roman" w:eastAsia="宋体"/>
          <w:sz w:val="21"/>
          <w:szCs w:val="21"/>
          <w:lang w:val="en-US" w:eastAsia="zh-CN"/>
        </w:rPr>
        <w:t>为满足直流工程性能要求而开展的一系列的集成设计行为，主要包括系统研究、成套设备规范、控制保护系统</w:t>
      </w:r>
      <w:r>
        <w:rPr>
          <w:rFonts w:hint="eastAsia"/>
          <w:sz w:val="21"/>
          <w:szCs w:val="21"/>
          <w:lang w:val="en-US" w:eastAsia="zh-CN"/>
        </w:rPr>
        <w:t>的功能试验和动态性能</w:t>
      </w:r>
      <w:r>
        <w:rPr>
          <w:rFonts w:hint="default" w:ascii="Times New Roman" w:hAnsi="Times New Roman" w:eastAsia="宋体"/>
          <w:sz w:val="21"/>
          <w:szCs w:val="21"/>
          <w:lang w:val="en-US" w:eastAsia="zh-CN"/>
        </w:rPr>
        <w:t>试验等。</w:t>
      </w:r>
    </w:p>
    <w:p w14:paraId="0CACA7F8">
      <w:pPr>
        <w:rPr>
          <w:color w:val="000000"/>
          <w:sz w:val="21"/>
          <w:szCs w:val="21"/>
        </w:rPr>
      </w:pPr>
      <w:r>
        <w:rPr>
          <w:rFonts w:hint="default"/>
          <w:color w:val="000000"/>
          <w:sz w:val="21"/>
          <w:szCs w:val="21"/>
          <w:lang w:val="en-US" w:eastAsia="zh-CN"/>
        </w:rPr>
        <w:t xml:space="preserve">2.0.2 </w:t>
      </w:r>
      <w:r>
        <w:rPr>
          <w:color w:val="000000"/>
          <w:sz w:val="21"/>
          <w:szCs w:val="21"/>
        </w:rPr>
        <w:t>功能试验</w:t>
      </w:r>
      <w:r>
        <w:rPr>
          <w:rFonts w:hint="default"/>
          <w:color w:val="000000"/>
          <w:sz w:val="21"/>
          <w:szCs w:val="21"/>
        </w:rPr>
        <w:t>（</w:t>
      </w:r>
      <w:r>
        <w:rPr>
          <w:color w:val="000000"/>
          <w:sz w:val="21"/>
          <w:szCs w:val="21"/>
        </w:rPr>
        <w:t>Function Performance Tests，FPT</w:t>
      </w:r>
      <w:r>
        <w:rPr>
          <w:rFonts w:hint="default"/>
          <w:color w:val="000000"/>
          <w:sz w:val="21"/>
          <w:szCs w:val="21"/>
        </w:rPr>
        <w:t>）</w:t>
      </w:r>
    </w:p>
    <w:p w14:paraId="79F78689">
      <w:pPr>
        <w:ind w:firstLine="420"/>
        <w:rPr>
          <w:rFonts w:hint="default" w:ascii="Times New Roman" w:hAnsi="Times New Roman" w:eastAsia="宋体"/>
          <w:sz w:val="21"/>
          <w:szCs w:val="21"/>
          <w:lang w:val="en-US" w:eastAsia="zh-CN"/>
        </w:rPr>
      </w:pPr>
      <w:r>
        <w:rPr>
          <w:rFonts w:hint="default" w:ascii="Times New Roman" w:hAnsi="Times New Roman" w:eastAsia="宋体"/>
          <w:sz w:val="21"/>
          <w:szCs w:val="21"/>
          <w:lang w:val="en-US" w:eastAsia="zh-CN"/>
        </w:rPr>
        <w:t>直流控制保护系统的功能试验，主要用于验证实际控制保护系统</w:t>
      </w:r>
      <w:r>
        <w:rPr>
          <w:rFonts w:hint="eastAsia"/>
          <w:sz w:val="21"/>
          <w:szCs w:val="21"/>
          <w:lang w:val="en-US" w:eastAsia="zh-CN"/>
        </w:rPr>
        <w:t>及其与主设备接口</w:t>
      </w:r>
      <w:r>
        <w:rPr>
          <w:rFonts w:hint="default" w:ascii="Times New Roman" w:hAnsi="Times New Roman" w:eastAsia="宋体"/>
          <w:sz w:val="21"/>
          <w:szCs w:val="21"/>
          <w:lang w:val="en-US" w:eastAsia="zh-CN"/>
        </w:rPr>
        <w:t>的功能是否满足工程设计要求，采用工程直流控制保护设备、仿真接口设备与实时数字仿真器连接构成硬件在环实时仿真试验系统进行试验。</w:t>
      </w:r>
    </w:p>
    <w:p w14:paraId="3868DE56">
      <w:pPr>
        <w:rPr>
          <w:rFonts w:hint="default"/>
          <w:color w:val="000000"/>
          <w:sz w:val="21"/>
          <w:szCs w:val="21"/>
          <w:lang w:val="en-US" w:eastAsia="zh-CN"/>
        </w:rPr>
      </w:pPr>
      <w:bookmarkStart w:id="45" w:name="_Toc520127701"/>
      <w:bookmarkStart w:id="46" w:name="_Toc520126885"/>
      <w:bookmarkStart w:id="47" w:name="_Toc520126184"/>
      <w:bookmarkStart w:id="48" w:name="_Toc520365125"/>
      <w:bookmarkStart w:id="49" w:name="_Toc519064382"/>
      <w:r>
        <w:rPr>
          <w:rFonts w:hint="default"/>
          <w:color w:val="000000"/>
          <w:sz w:val="21"/>
          <w:szCs w:val="21"/>
          <w:lang w:val="en-US" w:eastAsia="zh-CN"/>
        </w:rPr>
        <w:t>2.0.3 动态性能试验（Dynamic Performance Tests，DPT）</w:t>
      </w:r>
      <w:bookmarkEnd w:id="45"/>
      <w:bookmarkEnd w:id="46"/>
      <w:bookmarkEnd w:id="47"/>
      <w:bookmarkEnd w:id="48"/>
      <w:bookmarkEnd w:id="49"/>
    </w:p>
    <w:p w14:paraId="5E4F821F">
      <w:pPr>
        <w:ind w:firstLine="420"/>
        <w:rPr>
          <w:rFonts w:hint="default" w:ascii="Times New Roman" w:hAnsi="Times New Roman" w:eastAsia="宋体"/>
          <w:sz w:val="21"/>
          <w:szCs w:val="21"/>
          <w:lang w:val="en-US" w:eastAsia="zh-CN"/>
        </w:rPr>
      </w:pPr>
      <w:r>
        <w:rPr>
          <w:rFonts w:hint="default" w:ascii="Times New Roman" w:hAnsi="Times New Roman" w:eastAsia="宋体"/>
          <w:sz w:val="21"/>
          <w:szCs w:val="21"/>
          <w:lang w:val="en-US" w:eastAsia="zh-CN"/>
        </w:rPr>
        <w:t>直流控制保护系统的动态性能试验</w:t>
      </w:r>
      <w:bookmarkStart w:id="50" w:name="_Hlk496084308"/>
      <w:r>
        <w:rPr>
          <w:rFonts w:hint="default" w:ascii="Times New Roman" w:hAnsi="Times New Roman" w:eastAsia="宋体"/>
          <w:sz w:val="21"/>
          <w:szCs w:val="21"/>
          <w:lang w:val="en-US" w:eastAsia="zh-CN"/>
        </w:rPr>
        <w:t>，主要用于验证直流控制保护系统的动态性能是否满足工程设计要求</w:t>
      </w:r>
      <w:bookmarkEnd w:id="50"/>
      <w:r>
        <w:rPr>
          <w:rFonts w:hint="default" w:ascii="Times New Roman" w:hAnsi="Times New Roman" w:eastAsia="宋体"/>
          <w:sz w:val="21"/>
          <w:szCs w:val="21"/>
          <w:lang w:val="en-US" w:eastAsia="zh-CN"/>
        </w:rPr>
        <w:t>，采用与工程核心控制保护逻辑一致的控制保护设备、仿真接口设备与实时数字仿真器连接构成的硬件在环实时仿真试验系统进行试验。</w:t>
      </w:r>
    </w:p>
    <w:p w14:paraId="1EBFDF9D">
      <w:pPr>
        <w:rPr>
          <w:color w:val="000000"/>
          <w:sz w:val="21"/>
          <w:szCs w:val="21"/>
          <w:lang w:val="en-US" w:eastAsia="zh-CN"/>
        </w:rPr>
      </w:pPr>
      <w:r>
        <w:rPr>
          <w:rFonts w:hint="default"/>
          <w:color w:val="000000"/>
          <w:sz w:val="21"/>
          <w:szCs w:val="21"/>
          <w:lang w:val="en-US" w:eastAsia="zh-CN"/>
        </w:rPr>
        <w:t>2.0.4</w:t>
      </w:r>
      <w:r>
        <w:rPr>
          <w:rFonts w:hint="eastAsia"/>
          <w:color w:val="000000"/>
          <w:sz w:val="21"/>
          <w:szCs w:val="21"/>
          <w:lang w:val="en-US" w:eastAsia="zh-CN"/>
        </w:rPr>
        <w:t xml:space="preserve"> </w:t>
      </w:r>
      <w:r>
        <w:rPr>
          <w:rFonts w:hint="default"/>
          <w:color w:val="000000"/>
          <w:sz w:val="21"/>
          <w:szCs w:val="21"/>
          <w:lang w:val="en-US" w:eastAsia="zh-CN"/>
        </w:rPr>
        <w:t>阀控功能性能试验</w:t>
      </w:r>
      <w:bookmarkEnd w:id="44"/>
      <w:r>
        <w:rPr>
          <w:rFonts w:hint="default"/>
          <w:color w:val="000000"/>
          <w:sz w:val="21"/>
          <w:szCs w:val="21"/>
          <w:lang w:val="en-US" w:eastAsia="zh-CN"/>
        </w:rPr>
        <w:t>（Valve control Function Performance Test）</w:t>
      </w:r>
    </w:p>
    <w:p w14:paraId="339AEB70">
      <w:pPr>
        <w:ind w:firstLine="420"/>
        <w:rPr>
          <w:rFonts w:ascii="Times New Roman" w:hAnsi="Times New Roman" w:eastAsia="宋体"/>
          <w:sz w:val="21"/>
          <w:szCs w:val="21"/>
          <w:highlight w:val="cyan"/>
          <w:lang w:val="en-US" w:eastAsia="zh-CN"/>
        </w:rPr>
      </w:pPr>
      <w:r>
        <w:rPr>
          <w:rFonts w:hint="default" w:ascii="Times New Roman" w:hAnsi="Times New Roman" w:eastAsia="宋体"/>
          <w:sz w:val="21"/>
          <w:szCs w:val="21"/>
          <w:highlight w:val="none"/>
          <w:lang w:val="en-US" w:eastAsia="zh-CN"/>
        </w:rPr>
        <w:t>阀控</w:t>
      </w:r>
      <w:r>
        <w:rPr>
          <w:rFonts w:hint="default"/>
          <w:sz w:val="21"/>
          <w:szCs w:val="21"/>
          <w:highlight w:val="none"/>
          <w:lang w:val="en-US" w:eastAsia="zh-CN"/>
        </w:rPr>
        <w:t>系统的功能性能试验，主要用于验证阀控系统的功能及性能是否满足工程设计要求</w:t>
      </w:r>
      <w:r>
        <w:rPr>
          <w:rFonts w:hint="eastAsia" w:ascii="Times New Roman" w:hAnsi="Times New Roman"/>
          <w:sz w:val="21"/>
          <w:szCs w:val="21"/>
          <w:highlight w:val="none"/>
          <w:lang w:val="en-US" w:eastAsia="zh-CN"/>
        </w:rPr>
        <w:t>，采用与工程核心控制保护逻辑一致的阀控设备、换流器控制装置、功率模块特性模拟及仿真接口设备、实时数字仿真器连接构成的硬件在环实时仿真试验系统进行试验</w:t>
      </w:r>
      <w:r>
        <w:rPr>
          <w:rFonts w:hint="default" w:ascii="Times New Roman" w:hAnsi="Times New Roman" w:eastAsia="宋体"/>
          <w:sz w:val="21"/>
          <w:szCs w:val="21"/>
          <w:highlight w:val="none"/>
          <w:lang w:val="en-US" w:eastAsia="zh-CN"/>
        </w:rPr>
        <w:t>。</w:t>
      </w:r>
    </w:p>
    <w:p w14:paraId="69AC9234">
      <w:pPr>
        <w:rPr>
          <w:rFonts w:hint="default"/>
          <w:color w:val="000000"/>
          <w:sz w:val="21"/>
          <w:szCs w:val="21"/>
          <w:lang w:val="en-US" w:eastAsia="zh-CN"/>
        </w:rPr>
      </w:pPr>
      <w:r>
        <w:rPr>
          <w:rFonts w:hint="default"/>
          <w:color w:val="000000"/>
          <w:sz w:val="21"/>
          <w:szCs w:val="21"/>
          <w:lang w:val="en-US" w:eastAsia="zh-CN"/>
        </w:rPr>
        <w:t>2.0.5 实时数字仿真器（Real Time Digital Simulator）</w:t>
      </w:r>
    </w:p>
    <w:p w14:paraId="1579F791">
      <w:pPr>
        <w:ind w:firstLine="420"/>
        <w:rPr>
          <w:rFonts w:hint="default" w:ascii="Times New Roman" w:hAnsi="Times New Roman" w:eastAsia="宋体"/>
          <w:sz w:val="21"/>
          <w:szCs w:val="21"/>
          <w:lang w:val="en-US" w:eastAsia="zh-CN"/>
        </w:rPr>
      </w:pPr>
      <w:r>
        <w:rPr>
          <w:rFonts w:hint="default" w:ascii="Times New Roman" w:hAnsi="Times New Roman" w:eastAsia="宋体"/>
          <w:sz w:val="21"/>
          <w:szCs w:val="21"/>
          <w:lang w:val="en-US" w:eastAsia="zh-CN"/>
        </w:rPr>
        <w:t>实时数字仿真器，是一种通过高速硬件计算平台实现电力系统暂态实时仿真的设备，可用于电力系统控制保护设备的硬件在环仿真与测试。常见的有RTDS、RT</w:t>
      </w:r>
      <w:r>
        <w:rPr>
          <w:rFonts w:hint="eastAsia"/>
          <w:sz w:val="21"/>
          <w:szCs w:val="21"/>
          <w:lang w:val="en-US" w:eastAsia="zh-CN"/>
        </w:rPr>
        <w:t>-LAB</w:t>
      </w:r>
      <w:r>
        <w:rPr>
          <w:rFonts w:hint="default" w:ascii="Times New Roman" w:hAnsi="Times New Roman" w:eastAsia="宋体"/>
          <w:sz w:val="21"/>
          <w:szCs w:val="21"/>
          <w:lang w:val="en-US" w:eastAsia="zh-CN"/>
        </w:rPr>
        <w:t>等商用设备。</w:t>
      </w:r>
      <w:r>
        <w:rPr>
          <w:rFonts w:hint="default"/>
          <w:color w:val="000000"/>
          <w:sz w:val="21"/>
          <w:szCs w:val="21"/>
          <w:lang w:val="en-US" w:eastAsia="zh-CN"/>
        </w:rPr>
        <w:t>2.0.</w:t>
      </w:r>
      <w:r>
        <w:rPr>
          <w:rFonts w:hint="eastAsia"/>
          <w:color w:val="000000"/>
          <w:sz w:val="21"/>
          <w:szCs w:val="21"/>
          <w:lang w:val="en-US" w:eastAsia="zh-CN"/>
        </w:rPr>
        <w:t xml:space="preserve">6 </w:t>
      </w:r>
      <w:r>
        <w:rPr>
          <w:rFonts w:hint="default" w:ascii="Times New Roman" w:hAnsi="Times New Roman" w:eastAsia="宋体"/>
          <w:sz w:val="21"/>
          <w:szCs w:val="21"/>
          <w:lang w:val="en-US" w:eastAsia="zh-CN"/>
        </w:rPr>
        <w:t>直流成套设备</w:t>
      </w:r>
      <w:r>
        <w:rPr>
          <w:rFonts w:hint="default"/>
          <w:color w:val="000000"/>
          <w:sz w:val="21"/>
          <w:szCs w:val="21"/>
          <w:lang w:val="en-US" w:eastAsia="zh-CN"/>
        </w:rPr>
        <w:t>（</w:t>
      </w:r>
      <w:r>
        <w:rPr>
          <w:rFonts w:hint="default" w:ascii="Times New Roman" w:hAnsi="Times New Roman" w:eastAsia="宋体"/>
          <w:sz w:val="21"/>
          <w:szCs w:val="21"/>
          <w:lang w:val="en-US" w:eastAsia="zh-CN"/>
        </w:rPr>
        <w:t>HVDC equipment assemblies</w:t>
      </w:r>
      <w:r>
        <w:rPr>
          <w:rFonts w:hint="default"/>
          <w:color w:val="000000"/>
          <w:sz w:val="21"/>
          <w:szCs w:val="21"/>
          <w:lang w:val="en-US" w:eastAsia="zh-CN"/>
        </w:rPr>
        <w:t>）</w:t>
      </w:r>
    </w:p>
    <w:p w14:paraId="029992C1">
      <w:pPr>
        <w:ind w:firstLine="420"/>
        <w:rPr>
          <w:rFonts w:hint="default" w:ascii="Times New Roman" w:hAnsi="Times New Roman" w:eastAsia="宋体"/>
          <w:sz w:val="21"/>
          <w:szCs w:val="21"/>
          <w:lang w:val="en-US" w:eastAsia="zh-CN"/>
        </w:rPr>
      </w:pPr>
      <w:r>
        <w:rPr>
          <w:rFonts w:hint="default" w:ascii="Times New Roman" w:hAnsi="Times New Roman" w:eastAsia="宋体"/>
          <w:sz w:val="21"/>
          <w:szCs w:val="21"/>
          <w:lang w:val="en-US" w:eastAsia="zh-CN"/>
        </w:rPr>
        <w:t>直流成套设备是指将换流阀</w:t>
      </w:r>
      <w:r>
        <w:rPr>
          <w:rFonts w:hint="eastAsia"/>
          <w:sz w:val="21"/>
          <w:szCs w:val="21"/>
          <w:lang w:val="en-US" w:eastAsia="zh-CN"/>
        </w:rPr>
        <w:t>及其附属设备</w:t>
      </w:r>
      <w:r>
        <w:rPr>
          <w:rFonts w:hint="default" w:ascii="Times New Roman" w:hAnsi="Times New Roman" w:eastAsia="宋体"/>
          <w:sz w:val="21"/>
          <w:szCs w:val="21"/>
          <w:lang w:val="en-US" w:eastAsia="zh-CN"/>
        </w:rPr>
        <w:t>、</w:t>
      </w:r>
      <w:r>
        <w:rPr>
          <w:rFonts w:hint="eastAsia"/>
          <w:sz w:val="21"/>
          <w:szCs w:val="21"/>
          <w:lang w:val="en-US" w:eastAsia="zh-CN"/>
        </w:rPr>
        <w:t>联接</w:t>
      </w:r>
      <w:r>
        <w:rPr>
          <w:rFonts w:hint="default" w:ascii="Times New Roman" w:hAnsi="Times New Roman" w:eastAsia="宋体"/>
          <w:sz w:val="21"/>
          <w:szCs w:val="21"/>
          <w:lang w:val="en-US" w:eastAsia="zh-CN"/>
        </w:rPr>
        <w:t>变压器/换流变压器、</w:t>
      </w:r>
      <w:r>
        <w:rPr>
          <w:rFonts w:hint="eastAsia"/>
          <w:sz w:val="21"/>
          <w:szCs w:val="21"/>
          <w:lang w:val="en-US" w:eastAsia="zh-CN"/>
        </w:rPr>
        <w:t>桥臂电抗器、限流电抗器/</w:t>
      </w:r>
      <w:r>
        <w:rPr>
          <w:rFonts w:hint="default" w:ascii="Times New Roman" w:hAnsi="Times New Roman" w:eastAsia="宋体"/>
          <w:sz w:val="21"/>
          <w:szCs w:val="21"/>
          <w:lang w:val="en-US" w:eastAsia="zh-CN"/>
        </w:rPr>
        <w:t>平波电抗器、</w:t>
      </w:r>
      <w:r>
        <w:rPr>
          <w:rFonts w:hint="eastAsia"/>
          <w:sz w:val="21"/>
          <w:szCs w:val="21"/>
          <w:lang w:val="en-US" w:eastAsia="zh-CN"/>
        </w:rPr>
        <w:t>直流开关、穿墙套管、GIS/GIL（如有）、直流系统避雷器、交</w:t>
      </w:r>
      <w:r>
        <w:rPr>
          <w:rFonts w:hint="default" w:ascii="Times New Roman" w:hAnsi="Times New Roman" w:eastAsia="宋体"/>
          <w:sz w:val="21"/>
          <w:szCs w:val="21"/>
          <w:lang w:val="en-US" w:eastAsia="zh-CN"/>
        </w:rPr>
        <w:t>直流滤波器</w:t>
      </w:r>
      <w:r>
        <w:rPr>
          <w:rFonts w:hint="eastAsia"/>
          <w:sz w:val="21"/>
          <w:szCs w:val="21"/>
          <w:lang w:val="en-US" w:eastAsia="zh-CN"/>
        </w:rPr>
        <w:t>（如有）</w:t>
      </w:r>
      <w:r>
        <w:rPr>
          <w:rFonts w:hint="default" w:ascii="Times New Roman" w:hAnsi="Times New Roman" w:eastAsia="宋体"/>
          <w:sz w:val="21"/>
          <w:szCs w:val="21"/>
          <w:lang w:val="en-US" w:eastAsia="zh-CN"/>
        </w:rPr>
        <w:t>、</w:t>
      </w:r>
      <w:r>
        <w:rPr>
          <w:rFonts w:hint="eastAsia"/>
          <w:sz w:val="21"/>
          <w:szCs w:val="21"/>
          <w:lang w:val="en-US" w:eastAsia="zh-CN"/>
        </w:rPr>
        <w:t>耗能装置（如有）、直流系统测量装置、</w:t>
      </w:r>
      <w:r>
        <w:rPr>
          <w:rFonts w:hint="default" w:ascii="Times New Roman" w:hAnsi="Times New Roman" w:eastAsia="宋体"/>
          <w:sz w:val="21"/>
          <w:szCs w:val="21"/>
          <w:lang w:val="en-US" w:eastAsia="zh-CN"/>
        </w:rPr>
        <w:t>控制保护系统等组合而成的完整</w:t>
      </w:r>
      <w:r>
        <w:rPr>
          <w:rFonts w:hint="eastAsia"/>
          <w:sz w:val="21"/>
          <w:szCs w:val="21"/>
          <w:lang w:val="en-US" w:eastAsia="zh-CN"/>
        </w:rPr>
        <w:t>直流输电</w:t>
      </w:r>
      <w:r>
        <w:rPr>
          <w:rFonts w:hint="default" w:ascii="Times New Roman" w:hAnsi="Times New Roman" w:eastAsia="宋体"/>
          <w:sz w:val="21"/>
          <w:szCs w:val="21"/>
          <w:lang w:val="en-US" w:eastAsia="zh-CN"/>
        </w:rPr>
        <w:t>系统装备</w:t>
      </w:r>
      <w:r>
        <w:rPr>
          <w:rFonts w:hint="eastAsia"/>
          <w:sz w:val="21"/>
          <w:szCs w:val="21"/>
          <w:lang w:val="en-US" w:eastAsia="zh-CN"/>
        </w:rPr>
        <w:t>，</w:t>
      </w:r>
      <w:r>
        <w:rPr>
          <w:rFonts w:hint="default" w:ascii="Times New Roman" w:hAnsi="Times New Roman" w:eastAsia="宋体"/>
          <w:sz w:val="21"/>
          <w:szCs w:val="21"/>
          <w:lang w:val="en-US" w:eastAsia="zh-CN"/>
        </w:rPr>
        <w:t>实现交流与直流的相互转换。</w:t>
      </w:r>
    </w:p>
    <w:p w14:paraId="4A8AA5DD">
      <w:pPr>
        <w:rPr>
          <w:rFonts w:hint="default"/>
          <w:b w:val="0"/>
          <w:bCs w:val="0"/>
          <w:color w:val="000000"/>
          <w:sz w:val="21"/>
          <w:szCs w:val="21"/>
          <w:lang w:val="en-US" w:eastAsia="zh-CN"/>
        </w:rPr>
      </w:pPr>
      <w:r>
        <w:rPr>
          <w:rFonts w:hint="default"/>
          <w:b w:val="0"/>
          <w:bCs w:val="0"/>
          <w:color w:val="000000"/>
          <w:sz w:val="21"/>
          <w:szCs w:val="21"/>
          <w:lang w:val="en-US" w:eastAsia="zh-CN"/>
        </w:rPr>
        <w:br w:type="page"/>
      </w:r>
    </w:p>
    <w:p w14:paraId="245492E5">
      <w:pPr>
        <w:pStyle w:val="2"/>
        <w:rPr>
          <w:rFonts w:hint="default"/>
          <w:lang w:val="en-US" w:eastAsia="zh-CN"/>
        </w:rPr>
      </w:pPr>
      <w:bookmarkStart w:id="51" w:name="_Toc9370"/>
      <w:bookmarkStart w:id="52" w:name="_Toc9705"/>
      <w:bookmarkStart w:id="53" w:name="_Toc28953"/>
      <w:bookmarkStart w:id="54" w:name="_Toc2972"/>
      <w:bookmarkStart w:id="55" w:name="_Toc31862"/>
      <w:bookmarkStart w:id="56" w:name="_Toc22301"/>
      <w:bookmarkStart w:id="57" w:name="_Toc18867"/>
      <w:bookmarkStart w:id="58" w:name="_Toc2430"/>
      <w:bookmarkStart w:id="59" w:name="_Toc22303"/>
      <w:bookmarkStart w:id="60" w:name="_Toc25065"/>
      <w:bookmarkStart w:id="61" w:name="_Toc3923"/>
      <w:bookmarkStart w:id="62" w:name="_Toc8540"/>
      <w:bookmarkStart w:id="63" w:name="_Toc4895"/>
      <w:bookmarkStart w:id="64" w:name="_Toc2309"/>
      <w:bookmarkStart w:id="65" w:name="_Toc31058"/>
      <w:bookmarkStart w:id="66" w:name="_Toc1781"/>
      <w:r>
        <w:rPr>
          <w:rFonts w:hint="default"/>
          <w:lang w:val="en-US" w:eastAsia="zh-CN"/>
        </w:rPr>
        <w:t>3</w:t>
      </w:r>
      <w:r>
        <w:rPr>
          <w:rFonts w:hint="default"/>
        </w:rPr>
        <w:t xml:space="preserve"> </w:t>
      </w:r>
      <w:r>
        <w:rPr>
          <w:rFonts w:hint="default"/>
          <w:lang w:val="en-US" w:eastAsia="zh-CN"/>
        </w:rPr>
        <w:t>总体技术</w:t>
      </w:r>
      <w:bookmarkEnd w:id="51"/>
      <w:bookmarkEnd w:id="52"/>
      <w:bookmarkEnd w:id="53"/>
      <w:bookmarkEnd w:id="54"/>
      <w:r>
        <w:rPr>
          <w:rFonts w:hint="default"/>
          <w:lang w:val="en-US" w:eastAsia="zh-CN"/>
        </w:rPr>
        <w:t>方案</w:t>
      </w:r>
      <w:bookmarkEnd w:id="55"/>
      <w:bookmarkEnd w:id="56"/>
      <w:bookmarkEnd w:id="57"/>
      <w:bookmarkEnd w:id="58"/>
      <w:bookmarkEnd w:id="59"/>
      <w:bookmarkEnd w:id="60"/>
      <w:bookmarkEnd w:id="61"/>
      <w:bookmarkEnd w:id="62"/>
      <w:bookmarkEnd w:id="63"/>
      <w:bookmarkEnd w:id="64"/>
      <w:bookmarkEnd w:id="65"/>
      <w:bookmarkEnd w:id="66"/>
    </w:p>
    <w:p w14:paraId="635D3FF4">
      <w:pPr>
        <w:pStyle w:val="3"/>
        <w:rPr>
          <w:rFonts w:hint="default"/>
          <w:lang w:eastAsia="zh-CN"/>
        </w:rPr>
      </w:pPr>
      <w:bookmarkStart w:id="67" w:name="_Toc16564"/>
      <w:bookmarkStart w:id="68" w:name="_Toc20519"/>
      <w:bookmarkStart w:id="69" w:name="_Toc11332"/>
      <w:bookmarkStart w:id="70" w:name="_Toc4058"/>
      <w:bookmarkStart w:id="71" w:name="_Toc30781"/>
      <w:bookmarkStart w:id="72" w:name="_Toc15063"/>
      <w:bookmarkStart w:id="73" w:name="_Toc21123"/>
      <w:bookmarkStart w:id="74" w:name="_Toc5837"/>
      <w:bookmarkStart w:id="75" w:name="_Toc31407"/>
      <w:bookmarkStart w:id="76" w:name="_Toc9977"/>
      <w:bookmarkStart w:id="77" w:name="_Toc4399"/>
      <w:bookmarkStart w:id="78" w:name="_Toc24674"/>
      <w:bookmarkStart w:id="79" w:name="_Toc22557"/>
      <w:bookmarkStart w:id="80" w:name="_Toc31427"/>
      <w:bookmarkStart w:id="81" w:name="_Toc23212"/>
      <w:bookmarkStart w:id="82" w:name="_Toc26681"/>
      <w:r>
        <w:rPr>
          <w:rFonts w:hint="default"/>
        </w:rPr>
        <w:t xml:space="preserve">3.1 </w:t>
      </w:r>
      <w:r>
        <w:rPr>
          <w:rFonts w:hint="default"/>
          <w:lang w:val="en-US" w:eastAsia="zh-CN"/>
        </w:rPr>
        <w:t>概述</w:t>
      </w:r>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p>
    <w:p w14:paraId="2F7ECACC">
      <w:pPr>
        <w:outlineLvl w:val="2"/>
        <w:rPr>
          <w:rFonts w:hint="default"/>
          <w:color w:val="000000"/>
          <w:sz w:val="21"/>
          <w:szCs w:val="21"/>
        </w:rPr>
      </w:pPr>
      <w:bookmarkStart w:id="83" w:name="_Toc30032"/>
      <w:r>
        <w:rPr>
          <w:rFonts w:hint="default"/>
          <w:color w:val="000000"/>
          <w:sz w:val="21"/>
          <w:szCs w:val="21"/>
        </w:rPr>
        <w:t>3.1</w:t>
      </w:r>
      <w:r>
        <w:rPr>
          <w:color w:val="000000"/>
          <w:sz w:val="21"/>
          <w:szCs w:val="21"/>
        </w:rPr>
        <w:t xml:space="preserve">.1 </w:t>
      </w:r>
      <w:r>
        <w:rPr>
          <w:rFonts w:hint="default"/>
          <w:color w:val="000000"/>
          <w:sz w:val="21"/>
          <w:szCs w:val="21"/>
        </w:rPr>
        <w:t>总体技术</w:t>
      </w:r>
      <w:r>
        <w:rPr>
          <w:rFonts w:hint="default"/>
          <w:color w:val="000000"/>
          <w:sz w:val="21"/>
          <w:szCs w:val="21"/>
          <w:lang w:val="en-US"/>
        </w:rPr>
        <w:t>方案</w:t>
      </w:r>
      <w:r>
        <w:rPr>
          <w:rFonts w:hint="eastAsia"/>
          <w:color w:val="000000"/>
          <w:sz w:val="21"/>
          <w:szCs w:val="21"/>
          <w:lang w:val="en-US" w:eastAsia="zh-CN"/>
        </w:rPr>
        <w:t>的设计范围</w:t>
      </w:r>
      <w:r>
        <w:rPr>
          <w:rFonts w:hint="default"/>
          <w:color w:val="000000"/>
          <w:sz w:val="21"/>
          <w:szCs w:val="21"/>
        </w:rPr>
        <w:t>应</w:t>
      </w:r>
      <w:r>
        <w:rPr>
          <w:rFonts w:hint="eastAsia"/>
          <w:color w:val="000000"/>
          <w:sz w:val="21"/>
          <w:szCs w:val="21"/>
          <w:lang w:val="en-US" w:eastAsia="zh-CN"/>
        </w:rPr>
        <w:t>涵盖</w:t>
      </w:r>
      <w:r>
        <w:rPr>
          <w:rFonts w:hint="default"/>
          <w:color w:val="000000"/>
          <w:sz w:val="21"/>
          <w:szCs w:val="21"/>
        </w:rPr>
        <w:t>直流运行方式、工程总体性能要求、主接线和主回路</w:t>
      </w:r>
      <w:r>
        <w:rPr>
          <w:rFonts w:hint="eastAsia"/>
          <w:color w:val="000000"/>
          <w:sz w:val="21"/>
          <w:szCs w:val="21"/>
          <w:lang w:val="en-US" w:eastAsia="zh-CN"/>
        </w:rPr>
        <w:t>参数</w:t>
      </w:r>
      <w:r>
        <w:rPr>
          <w:rFonts w:hint="default"/>
          <w:color w:val="000000"/>
          <w:sz w:val="21"/>
          <w:szCs w:val="21"/>
        </w:rPr>
        <w:t>、成套设备选型、控制保护系统功能性能要求等方面研究，明确直流输电工程整体功能和性能要求、确定直流输电工程主要技术原则。</w:t>
      </w:r>
      <w:bookmarkEnd w:id="83"/>
    </w:p>
    <w:p w14:paraId="7A3600AB">
      <w:pPr>
        <w:outlineLvl w:val="2"/>
        <w:rPr>
          <w:rFonts w:hint="default"/>
          <w:color w:val="000000"/>
          <w:sz w:val="21"/>
          <w:szCs w:val="21"/>
          <w:lang w:val="en-US" w:eastAsia="zh-CN"/>
        </w:rPr>
      </w:pPr>
      <w:bookmarkStart w:id="84" w:name="_Toc17030"/>
      <w:r>
        <w:rPr>
          <w:rFonts w:hint="default"/>
          <w:color w:val="000000"/>
          <w:sz w:val="21"/>
          <w:szCs w:val="21"/>
        </w:rPr>
        <w:t>3.1</w:t>
      </w:r>
      <w:r>
        <w:rPr>
          <w:color w:val="000000"/>
          <w:sz w:val="21"/>
          <w:szCs w:val="21"/>
        </w:rPr>
        <w:t xml:space="preserve">.2 </w:t>
      </w:r>
      <w:r>
        <w:rPr>
          <w:rFonts w:hint="default"/>
          <w:color w:val="000000"/>
          <w:sz w:val="21"/>
          <w:szCs w:val="21"/>
          <w:lang w:val="en-US" w:eastAsia="zh-CN"/>
        </w:rPr>
        <w:t>设计依据</w:t>
      </w:r>
      <w:bookmarkEnd w:id="84"/>
    </w:p>
    <w:p w14:paraId="1C3FBC53">
      <w:pPr>
        <w:ind w:firstLine="420"/>
        <w:rPr>
          <w:rFonts w:hint="default" w:ascii="Times New Roman" w:hAnsi="Times New Roman" w:eastAsia="宋体"/>
          <w:sz w:val="21"/>
          <w:szCs w:val="21"/>
          <w:lang w:val="en-US" w:eastAsia="zh-CN"/>
        </w:rPr>
      </w:pPr>
      <w:r>
        <w:rPr>
          <w:rFonts w:hint="default" w:ascii="Times New Roman" w:hAnsi="Times New Roman" w:eastAsia="宋体"/>
          <w:sz w:val="21"/>
          <w:szCs w:val="21"/>
          <w:lang w:val="en-US" w:eastAsia="zh-CN"/>
        </w:rPr>
        <w:t>1 国家相关的政策、法规和规章；</w:t>
      </w:r>
    </w:p>
    <w:p w14:paraId="100F0D09">
      <w:pPr>
        <w:ind w:firstLine="420"/>
        <w:rPr>
          <w:rFonts w:hint="default" w:ascii="Times New Roman" w:hAnsi="Times New Roman" w:eastAsia="宋体"/>
          <w:sz w:val="21"/>
          <w:szCs w:val="21"/>
          <w:lang w:val="en-US" w:eastAsia="zh-CN"/>
        </w:rPr>
      </w:pPr>
      <w:r>
        <w:rPr>
          <w:rFonts w:hint="default" w:ascii="Times New Roman" w:hAnsi="Times New Roman" w:eastAsia="宋体"/>
          <w:sz w:val="21"/>
          <w:szCs w:val="21"/>
          <w:lang w:val="en-US" w:eastAsia="zh-CN"/>
        </w:rPr>
        <w:t>2 成套设计有关的规程规范；</w:t>
      </w:r>
    </w:p>
    <w:p w14:paraId="5D24CBAF">
      <w:pPr>
        <w:ind w:firstLine="420"/>
        <w:rPr>
          <w:rFonts w:hint="default" w:ascii="Times New Roman" w:hAnsi="Times New Roman" w:eastAsia="宋体"/>
          <w:sz w:val="21"/>
          <w:szCs w:val="21"/>
          <w:lang w:val="en-US" w:eastAsia="zh-CN"/>
        </w:rPr>
      </w:pPr>
      <w:r>
        <w:rPr>
          <w:rFonts w:hint="default" w:ascii="Times New Roman" w:hAnsi="Times New Roman" w:eastAsia="宋体"/>
          <w:sz w:val="21"/>
          <w:szCs w:val="21"/>
          <w:lang w:val="en-US" w:eastAsia="zh-CN"/>
        </w:rPr>
        <w:t>3 政府和上级有关部门批准、核准的文件；</w:t>
      </w:r>
    </w:p>
    <w:p w14:paraId="141A52C4">
      <w:pPr>
        <w:ind w:firstLine="420"/>
        <w:rPr>
          <w:rFonts w:hint="default" w:ascii="Times New Roman" w:hAnsi="Times New Roman" w:eastAsia="宋体"/>
          <w:sz w:val="21"/>
          <w:szCs w:val="21"/>
          <w:lang w:val="en-US" w:eastAsia="zh-CN"/>
        </w:rPr>
      </w:pPr>
      <w:r>
        <w:rPr>
          <w:rFonts w:hint="default" w:ascii="Times New Roman" w:hAnsi="Times New Roman" w:eastAsia="宋体"/>
          <w:sz w:val="21"/>
          <w:szCs w:val="21"/>
          <w:lang w:val="en-US" w:eastAsia="zh-CN"/>
        </w:rPr>
        <w:t>4 可行性研究报告和评审文件；</w:t>
      </w:r>
    </w:p>
    <w:p w14:paraId="35BF343D">
      <w:pPr>
        <w:ind w:firstLine="420"/>
        <w:rPr>
          <w:rFonts w:hint="default" w:ascii="Times New Roman" w:hAnsi="Times New Roman" w:eastAsia="宋体"/>
          <w:sz w:val="21"/>
          <w:szCs w:val="21"/>
          <w:lang w:val="en-US" w:eastAsia="zh-CN"/>
        </w:rPr>
      </w:pPr>
      <w:r>
        <w:rPr>
          <w:rFonts w:hint="default" w:ascii="Times New Roman" w:hAnsi="Times New Roman" w:eastAsia="宋体"/>
          <w:sz w:val="21"/>
          <w:szCs w:val="21"/>
          <w:lang w:val="en-US" w:eastAsia="zh-CN"/>
        </w:rPr>
        <w:t>5 成套设计中标通知书或委托文件</w:t>
      </w:r>
    </w:p>
    <w:p w14:paraId="13C8987D">
      <w:pPr>
        <w:outlineLvl w:val="2"/>
        <w:rPr>
          <w:rFonts w:hint="default" w:ascii="Times New Roman" w:hAnsi="Times New Roman" w:eastAsia="宋体"/>
          <w:color w:val="000000"/>
          <w:sz w:val="21"/>
          <w:szCs w:val="21"/>
          <w:lang w:val="en-US" w:eastAsia="zh-CN"/>
        </w:rPr>
      </w:pPr>
      <w:bookmarkStart w:id="85" w:name="_Toc16327"/>
      <w:r>
        <w:rPr>
          <w:rFonts w:hint="default" w:ascii="Times New Roman" w:hAnsi="Times New Roman" w:eastAsia="宋体"/>
          <w:color w:val="000000"/>
          <w:sz w:val="21"/>
          <w:szCs w:val="21"/>
        </w:rPr>
        <w:t>3.1</w:t>
      </w:r>
      <w:r>
        <w:rPr>
          <w:rFonts w:ascii="Times New Roman" w:hAnsi="Times New Roman" w:eastAsia="宋体"/>
          <w:color w:val="000000"/>
          <w:sz w:val="21"/>
          <w:szCs w:val="21"/>
        </w:rPr>
        <w:t xml:space="preserve">.3 </w:t>
      </w:r>
      <w:r>
        <w:rPr>
          <w:rFonts w:hint="default" w:ascii="Times New Roman" w:hAnsi="Times New Roman" w:eastAsia="宋体"/>
          <w:color w:val="000000"/>
          <w:sz w:val="21"/>
          <w:szCs w:val="21"/>
          <w:lang w:val="en-US" w:eastAsia="zh-CN"/>
        </w:rPr>
        <w:t>建设规模</w:t>
      </w:r>
      <w:bookmarkEnd w:id="85"/>
    </w:p>
    <w:p w14:paraId="19519CB6">
      <w:pPr>
        <w:ind w:firstLine="420"/>
        <w:rPr>
          <w:rFonts w:hint="default" w:ascii="Times New Roman" w:hAnsi="Times New Roman" w:eastAsia="宋体"/>
          <w:sz w:val="21"/>
          <w:szCs w:val="21"/>
          <w:lang w:val="en-US" w:eastAsia="zh-CN"/>
        </w:rPr>
      </w:pPr>
      <w:r>
        <w:rPr>
          <w:rFonts w:hint="default" w:ascii="Times New Roman" w:hAnsi="Times New Roman" w:eastAsia="宋体"/>
          <w:sz w:val="21"/>
          <w:szCs w:val="21"/>
          <w:lang w:val="en-US" w:eastAsia="zh-CN"/>
        </w:rPr>
        <w:t>1 直流部分。应包括远期及本期规模，至少包含如下要点：</w:t>
      </w:r>
    </w:p>
    <w:p w14:paraId="023F0084">
      <w:pPr>
        <w:ind w:firstLine="420"/>
        <w:rPr>
          <w:rFonts w:hint="default" w:ascii="Times New Roman" w:hAnsi="Times New Roman" w:eastAsia="宋体"/>
          <w:sz w:val="21"/>
          <w:szCs w:val="21"/>
          <w:lang w:val="en-US" w:eastAsia="zh-CN"/>
        </w:rPr>
      </w:pPr>
      <w:r>
        <w:rPr>
          <w:rFonts w:hint="eastAsia" w:ascii="Times New Roman" w:hAnsi="Times New Roman" w:eastAsia="宋体"/>
          <w:sz w:val="21"/>
          <w:szCs w:val="21"/>
          <w:lang w:val="en-US" w:eastAsia="zh-CN"/>
        </w:rPr>
        <w:t>（1）</w:t>
      </w:r>
      <w:r>
        <w:rPr>
          <w:rFonts w:hint="eastAsia"/>
          <w:sz w:val="21"/>
          <w:szCs w:val="21"/>
          <w:lang w:val="en-US" w:eastAsia="zh-CN"/>
        </w:rPr>
        <w:t>直流输送额定功率</w:t>
      </w:r>
    </w:p>
    <w:p w14:paraId="630EC83C">
      <w:pPr>
        <w:ind w:firstLine="420"/>
        <w:rPr>
          <w:rFonts w:hint="default" w:ascii="Times New Roman" w:hAnsi="Times New Roman" w:eastAsia="宋体"/>
          <w:sz w:val="21"/>
          <w:szCs w:val="21"/>
          <w:lang w:val="en-US" w:eastAsia="zh-CN"/>
        </w:rPr>
      </w:pPr>
      <w:r>
        <w:rPr>
          <w:rFonts w:hint="eastAsia" w:ascii="Times New Roman" w:hAnsi="Times New Roman" w:eastAsia="宋体"/>
          <w:sz w:val="21"/>
          <w:szCs w:val="21"/>
          <w:lang w:val="en-US" w:eastAsia="zh-CN"/>
        </w:rPr>
        <w:t>（2）</w:t>
      </w:r>
      <w:r>
        <w:rPr>
          <w:rFonts w:hint="default" w:ascii="Times New Roman" w:hAnsi="Times New Roman" w:eastAsia="宋体"/>
          <w:sz w:val="21"/>
          <w:szCs w:val="21"/>
          <w:lang w:val="en-US" w:eastAsia="zh-CN"/>
        </w:rPr>
        <w:t>额定直流电压</w:t>
      </w:r>
    </w:p>
    <w:p w14:paraId="7AC1E757">
      <w:pPr>
        <w:ind w:firstLine="420"/>
        <w:rPr>
          <w:rFonts w:hint="default" w:ascii="Times New Roman" w:hAnsi="Times New Roman" w:eastAsia="宋体"/>
          <w:sz w:val="21"/>
          <w:szCs w:val="21"/>
          <w:lang w:val="en-US" w:eastAsia="zh-CN"/>
        </w:rPr>
      </w:pPr>
      <w:r>
        <w:rPr>
          <w:rFonts w:hint="eastAsia" w:ascii="Times New Roman" w:hAnsi="Times New Roman" w:eastAsia="宋体"/>
          <w:sz w:val="21"/>
          <w:szCs w:val="21"/>
          <w:lang w:val="en-US" w:eastAsia="zh-CN"/>
        </w:rPr>
        <w:t>（3）</w:t>
      </w:r>
      <w:r>
        <w:rPr>
          <w:rFonts w:hint="default" w:ascii="Times New Roman" w:hAnsi="Times New Roman" w:eastAsia="宋体"/>
          <w:sz w:val="21"/>
          <w:szCs w:val="21"/>
          <w:lang w:val="en-US" w:eastAsia="zh-CN"/>
        </w:rPr>
        <w:t>直流主接线方式</w:t>
      </w:r>
    </w:p>
    <w:p w14:paraId="06FD47B6">
      <w:pPr>
        <w:ind w:firstLine="420"/>
        <w:rPr>
          <w:rFonts w:hint="default" w:ascii="Times New Roman" w:hAnsi="Times New Roman" w:eastAsia="宋体"/>
          <w:sz w:val="21"/>
          <w:szCs w:val="21"/>
          <w:lang w:val="en-US" w:eastAsia="zh-CN"/>
        </w:rPr>
      </w:pPr>
      <w:r>
        <w:rPr>
          <w:rFonts w:hint="eastAsia" w:ascii="Times New Roman" w:hAnsi="Times New Roman" w:eastAsia="宋体"/>
          <w:sz w:val="21"/>
          <w:szCs w:val="21"/>
          <w:lang w:val="en-US" w:eastAsia="zh-CN"/>
        </w:rPr>
        <w:t>（4）</w:t>
      </w:r>
      <w:r>
        <w:rPr>
          <w:rFonts w:hint="default" w:ascii="Times New Roman" w:hAnsi="Times New Roman" w:eastAsia="宋体"/>
          <w:sz w:val="21"/>
          <w:szCs w:val="21"/>
          <w:lang w:val="en-US" w:eastAsia="zh-CN"/>
        </w:rPr>
        <w:t>交流母线电压</w:t>
      </w:r>
    </w:p>
    <w:p w14:paraId="1431837D">
      <w:pPr>
        <w:ind w:firstLine="420"/>
        <w:rPr>
          <w:rFonts w:hint="default" w:ascii="Times New Roman" w:hAnsi="Times New Roman" w:eastAsia="宋体"/>
          <w:sz w:val="21"/>
          <w:szCs w:val="21"/>
          <w:lang w:val="en-US" w:eastAsia="zh-CN"/>
        </w:rPr>
      </w:pPr>
      <w:r>
        <w:rPr>
          <w:rFonts w:hint="eastAsia" w:ascii="Times New Roman" w:hAnsi="Times New Roman" w:eastAsia="宋体"/>
          <w:sz w:val="21"/>
          <w:szCs w:val="21"/>
          <w:lang w:val="en-US" w:eastAsia="zh-CN"/>
        </w:rPr>
        <w:t>（5）</w:t>
      </w:r>
      <w:r>
        <w:rPr>
          <w:rFonts w:hint="default" w:ascii="Times New Roman" w:hAnsi="Times New Roman" w:eastAsia="宋体"/>
          <w:sz w:val="21"/>
          <w:szCs w:val="21"/>
          <w:lang w:val="en-US" w:eastAsia="zh-CN"/>
        </w:rPr>
        <w:t>无功输出要求</w:t>
      </w:r>
    </w:p>
    <w:p w14:paraId="75D19927">
      <w:pPr>
        <w:ind w:firstLine="420"/>
        <w:rPr>
          <w:rFonts w:hint="default" w:ascii="Times New Roman" w:hAnsi="Times New Roman" w:eastAsia="宋体"/>
          <w:sz w:val="21"/>
          <w:szCs w:val="21"/>
          <w:lang w:val="en-US" w:eastAsia="zh-CN"/>
        </w:rPr>
      </w:pPr>
      <w:r>
        <w:rPr>
          <w:rFonts w:hint="default" w:ascii="Times New Roman" w:hAnsi="Times New Roman" w:eastAsia="宋体"/>
          <w:sz w:val="21"/>
          <w:szCs w:val="21"/>
          <w:lang w:val="en-US" w:eastAsia="zh-CN"/>
        </w:rPr>
        <w:t>2 交流部分。应包括远期及本期规模，至少包含如下要点：</w:t>
      </w:r>
    </w:p>
    <w:p w14:paraId="650E1F03">
      <w:pPr>
        <w:ind w:firstLine="420"/>
        <w:rPr>
          <w:rFonts w:hint="default" w:ascii="Times New Roman" w:hAnsi="Times New Roman" w:eastAsia="宋体"/>
          <w:sz w:val="21"/>
          <w:szCs w:val="21"/>
          <w:lang w:val="en-US" w:eastAsia="zh-CN"/>
        </w:rPr>
      </w:pPr>
      <w:r>
        <w:rPr>
          <w:rFonts w:hint="eastAsia" w:ascii="Times New Roman" w:hAnsi="Times New Roman" w:eastAsia="宋体"/>
          <w:sz w:val="21"/>
          <w:szCs w:val="21"/>
          <w:lang w:val="en-US" w:eastAsia="zh-CN"/>
        </w:rPr>
        <w:t>（1）</w:t>
      </w:r>
      <w:r>
        <w:rPr>
          <w:rFonts w:hint="eastAsia"/>
          <w:sz w:val="21"/>
          <w:szCs w:val="21"/>
          <w:lang w:val="en-US" w:eastAsia="zh-CN"/>
        </w:rPr>
        <w:t>换流站的</w:t>
      </w:r>
      <w:r>
        <w:rPr>
          <w:rFonts w:hint="default" w:ascii="Times New Roman" w:hAnsi="Times New Roman" w:eastAsia="宋体"/>
          <w:sz w:val="21"/>
          <w:szCs w:val="21"/>
          <w:lang w:val="en-US" w:eastAsia="zh-CN"/>
        </w:rPr>
        <w:t>交流出线</w:t>
      </w:r>
      <w:r>
        <w:rPr>
          <w:rFonts w:hint="eastAsia"/>
          <w:sz w:val="21"/>
          <w:szCs w:val="21"/>
          <w:lang w:val="en-US" w:eastAsia="zh-CN"/>
        </w:rPr>
        <w:t>情况</w:t>
      </w:r>
    </w:p>
    <w:p w14:paraId="6AD31D74">
      <w:pPr>
        <w:ind w:firstLine="420"/>
        <w:rPr>
          <w:rFonts w:hint="default" w:ascii="Times New Roman" w:hAnsi="Times New Roman" w:eastAsia="宋体"/>
          <w:sz w:val="21"/>
          <w:szCs w:val="21"/>
          <w:lang w:val="en-US" w:eastAsia="zh-CN"/>
        </w:rPr>
      </w:pPr>
      <w:r>
        <w:rPr>
          <w:rFonts w:hint="eastAsia" w:ascii="Times New Roman" w:hAnsi="Times New Roman" w:eastAsia="宋体"/>
          <w:sz w:val="21"/>
          <w:szCs w:val="21"/>
          <w:lang w:val="en-US" w:eastAsia="zh-CN"/>
        </w:rPr>
        <w:t>（2）</w:t>
      </w:r>
      <w:r>
        <w:rPr>
          <w:rFonts w:hint="default" w:ascii="Times New Roman" w:hAnsi="Times New Roman" w:eastAsia="宋体"/>
          <w:sz w:val="21"/>
          <w:szCs w:val="21"/>
          <w:lang w:val="en-US" w:eastAsia="zh-CN"/>
        </w:rPr>
        <w:t>短路电流水平</w:t>
      </w:r>
    </w:p>
    <w:p w14:paraId="4EDD634F">
      <w:pPr>
        <w:ind w:firstLine="420"/>
        <w:rPr>
          <w:rFonts w:hint="default" w:ascii="Times New Roman" w:hAnsi="Times New Roman" w:eastAsia="宋体"/>
          <w:sz w:val="21"/>
          <w:szCs w:val="21"/>
          <w:lang w:val="en-US" w:eastAsia="zh-CN"/>
        </w:rPr>
      </w:pPr>
      <w:r>
        <w:rPr>
          <w:rFonts w:hint="eastAsia"/>
          <w:sz w:val="21"/>
          <w:szCs w:val="21"/>
          <w:lang w:val="en-US" w:eastAsia="zh-CN"/>
        </w:rPr>
        <w:t>（3）无功补偿规模</w:t>
      </w:r>
    </w:p>
    <w:p w14:paraId="6BB2195B">
      <w:pPr>
        <w:pStyle w:val="3"/>
        <w:rPr>
          <w:rFonts w:hint="default"/>
          <w:lang w:val="en-US" w:eastAsia="zh-CN"/>
        </w:rPr>
      </w:pPr>
      <w:bookmarkStart w:id="86" w:name="_Toc14791"/>
      <w:bookmarkStart w:id="87" w:name="_Toc6342"/>
      <w:bookmarkStart w:id="88" w:name="_Toc8330"/>
      <w:bookmarkStart w:id="89" w:name="_Toc9522"/>
      <w:bookmarkStart w:id="90" w:name="_Toc23421"/>
      <w:bookmarkStart w:id="91" w:name="_Toc17951"/>
      <w:bookmarkStart w:id="92" w:name="_Toc24338"/>
      <w:bookmarkStart w:id="93" w:name="_Toc27873"/>
      <w:bookmarkStart w:id="94" w:name="_Toc29994"/>
      <w:bookmarkStart w:id="95" w:name="_Toc5728"/>
      <w:bookmarkStart w:id="96" w:name="_Toc1216"/>
      <w:bookmarkStart w:id="97" w:name="_Toc14098"/>
      <w:bookmarkStart w:id="98" w:name="_Toc3381"/>
      <w:bookmarkStart w:id="99" w:name="_Toc14240"/>
      <w:bookmarkStart w:id="100" w:name="_Toc9964"/>
      <w:bookmarkStart w:id="101" w:name="_Toc13960"/>
      <w:r>
        <w:rPr>
          <w:rFonts w:hint="default"/>
        </w:rPr>
        <w:t>3.</w:t>
      </w:r>
      <w:r>
        <w:rPr>
          <w:rFonts w:hint="default"/>
          <w:lang w:val="en-US" w:eastAsia="zh-CN"/>
        </w:rPr>
        <w:t>2</w:t>
      </w:r>
      <w:r>
        <w:rPr>
          <w:rFonts w:hint="default"/>
        </w:rPr>
        <w:t xml:space="preserve"> </w:t>
      </w:r>
      <w:r>
        <w:rPr>
          <w:rFonts w:hint="default"/>
          <w:lang w:val="en-US" w:eastAsia="zh-CN"/>
        </w:rPr>
        <w:t>设计条件</w:t>
      </w:r>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p>
    <w:p w14:paraId="31472E52">
      <w:pPr>
        <w:outlineLvl w:val="2"/>
        <w:rPr>
          <w:rFonts w:hint="default" w:ascii="Times New Roman" w:hAnsi="Times New Roman" w:eastAsia="宋体"/>
          <w:color w:val="000000"/>
          <w:sz w:val="21"/>
          <w:szCs w:val="21"/>
          <w:lang w:val="en-US" w:eastAsia="zh-CN"/>
        </w:rPr>
      </w:pPr>
      <w:bookmarkStart w:id="102" w:name="_Toc1776"/>
      <w:r>
        <w:rPr>
          <w:rFonts w:hint="default" w:ascii="Times New Roman" w:hAnsi="Times New Roman" w:eastAsia="宋体"/>
          <w:color w:val="000000"/>
          <w:sz w:val="21"/>
          <w:szCs w:val="21"/>
        </w:rPr>
        <w:t>3.</w:t>
      </w:r>
      <w:r>
        <w:rPr>
          <w:rFonts w:hint="default" w:ascii="Times New Roman" w:hAnsi="Times New Roman" w:eastAsia="宋体"/>
          <w:color w:val="000000"/>
          <w:sz w:val="21"/>
          <w:szCs w:val="21"/>
          <w:lang w:val="en-US" w:eastAsia="zh-CN"/>
        </w:rPr>
        <w:t>2</w:t>
      </w:r>
      <w:r>
        <w:rPr>
          <w:rFonts w:hint="default" w:ascii="Times New Roman" w:hAnsi="Times New Roman" w:eastAsia="宋体"/>
          <w:color w:val="000000"/>
          <w:sz w:val="21"/>
          <w:szCs w:val="21"/>
        </w:rPr>
        <w:t>.</w:t>
      </w:r>
      <w:r>
        <w:rPr>
          <w:rFonts w:hint="default" w:ascii="Times New Roman" w:hAnsi="Times New Roman" w:eastAsia="宋体"/>
          <w:color w:val="000000"/>
          <w:sz w:val="21"/>
          <w:szCs w:val="21"/>
          <w:lang w:val="en-US" w:eastAsia="zh-CN"/>
        </w:rPr>
        <w:t>1</w:t>
      </w:r>
      <w:r>
        <w:rPr>
          <w:rFonts w:hint="default" w:ascii="Times New Roman" w:hAnsi="Times New Roman" w:eastAsia="宋体"/>
          <w:color w:val="000000"/>
          <w:sz w:val="21"/>
          <w:szCs w:val="21"/>
        </w:rPr>
        <w:t xml:space="preserve"> </w:t>
      </w:r>
      <w:r>
        <w:rPr>
          <w:rFonts w:hint="default" w:ascii="Times New Roman" w:hAnsi="Times New Roman" w:eastAsia="宋体"/>
          <w:color w:val="000000"/>
          <w:sz w:val="21"/>
          <w:szCs w:val="21"/>
          <w:lang w:val="en-US" w:eastAsia="zh-CN"/>
        </w:rPr>
        <w:t>站址条件</w:t>
      </w:r>
      <w:bookmarkEnd w:id="102"/>
    </w:p>
    <w:p w14:paraId="22A5FD82">
      <w:pPr>
        <w:ind w:firstLine="420"/>
        <w:rPr>
          <w:rFonts w:hint="default" w:ascii="Times New Roman" w:hAnsi="Times New Roman" w:eastAsia="宋体"/>
          <w:sz w:val="21"/>
          <w:szCs w:val="21"/>
          <w:lang w:val="en-US" w:eastAsia="zh-CN"/>
        </w:rPr>
      </w:pPr>
      <w:r>
        <w:rPr>
          <w:rFonts w:hint="default" w:ascii="Times New Roman" w:hAnsi="Times New Roman" w:eastAsia="宋体"/>
          <w:sz w:val="21"/>
          <w:szCs w:val="21"/>
          <w:lang w:val="en-US" w:eastAsia="zh-CN"/>
        </w:rPr>
        <w:t>1 说明站址地理位置，所在地的省、市、区(县)、乡镇街道的名称，站址位置地、市与城市的相互位置关系。简述站址周围自然与人文环境、道路、交通、市政基础设施与公共服务设施情况，以及四邻原有的和规划的重要建(构)筑物等设施。</w:t>
      </w:r>
    </w:p>
    <w:p w14:paraId="607A4DEA">
      <w:pPr>
        <w:ind w:firstLine="420"/>
        <w:rPr>
          <w:rFonts w:hint="default" w:ascii="Times New Roman" w:hAnsi="Times New Roman" w:eastAsia="宋体"/>
          <w:sz w:val="21"/>
          <w:szCs w:val="21"/>
          <w:lang w:val="en-US" w:eastAsia="zh-CN"/>
        </w:rPr>
      </w:pPr>
      <w:r>
        <w:rPr>
          <w:rFonts w:hint="default" w:ascii="Times New Roman" w:hAnsi="Times New Roman" w:eastAsia="宋体"/>
          <w:sz w:val="21"/>
          <w:szCs w:val="21"/>
          <w:lang w:val="en-US" w:eastAsia="zh-CN"/>
        </w:rPr>
        <w:t>2 概述场地地形地貌(如山丘、水域、最高/最低标高、坡度等)；描述场地内原有土地情况(农田、坡地、林地、水塘等)，原有植被、沟渠、水塘、输电线路、通信设施、市政基础设施(如输气、输水管线等)、民房、坟墓等建(构)筑物和拆迁等情况。</w:t>
      </w:r>
    </w:p>
    <w:p w14:paraId="1AE36524">
      <w:pPr>
        <w:outlineLvl w:val="2"/>
        <w:rPr>
          <w:rFonts w:hint="default" w:ascii="Times New Roman" w:hAnsi="Times New Roman" w:eastAsia="宋体"/>
          <w:color w:val="000000"/>
          <w:sz w:val="21"/>
          <w:szCs w:val="21"/>
          <w:lang w:val="en-US" w:eastAsia="zh-CN"/>
        </w:rPr>
      </w:pPr>
      <w:bookmarkStart w:id="103" w:name="_Toc13321"/>
      <w:r>
        <w:rPr>
          <w:rFonts w:hint="default" w:ascii="Times New Roman" w:hAnsi="Times New Roman" w:eastAsia="宋体"/>
          <w:color w:val="000000"/>
          <w:sz w:val="21"/>
          <w:szCs w:val="21"/>
        </w:rPr>
        <w:t>3.</w:t>
      </w:r>
      <w:r>
        <w:rPr>
          <w:rFonts w:hint="default" w:ascii="Times New Roman" w:hAnsi="Times New Roman" w:eastAsia="宋体"/>
          <w:color w:val="000000"/>
          <w:sz w:val="21"/>
          <w:szCs w:val="21"/>
          <w:lang w:val="en-US" w:eastAsia="zh-CN"/>
        </w:rPr>
        <w:t>2</w:t>
      </w:r>
      <w:r>
        <w:rPr>
          <w:rFonts w:hint="default" w:ascii="Times New Roman" w:hAnsi="Times New Roman" w:eastAsia="宋体"/>
          <w:color w:val="000000"/>
          <w:sz w:val="21"/>
          <w:szCs w:val="21"/>
        </w:rPr>
        <w:t>.</w:t>
      </w:r>
      <w:r>
        <w:rPr>
          <w:rFonts w:hint="default" w:ascii="Times New Roman" w:hAnsi="Times New Roman" w:eastAsia="宋体"/>
          <w:color w:val="000000"/>
          <w:sz w:val="21"/>
          <w:szCs w:val="21"/>
          <w:lang w:val="en-US" w:eastAsia="zh-CN"/>
        </w:rPr>
        <w:t>2</w:t>
      </w:r>
      <w:r>
        <w:rPr>
          <w:rFonts w:hint="default" w:ascii="Times New Roman" w:hAnsi="Times New Roman" w:eastAsia="宋体"/>
          <w:color w:val="000000"/>
          <w:sz w:val="21"/>
          <w:szCs w:val="21"/>
        </w:rPr>
        <w:t xml:space="preserve"> </w:t>
      </w:r>
      <w:r>
        <w:rPr>
          <w:rFonts w:hint="default" w:ascii="Times New Roman" w:hAnsi="Times New Roman" w:eastAsia="宋体"/>
          <w:color w:val="000000"/>
          <w:sz w:val="21"/>
          <w:szCs w:val="21"/>
          <w:lang w:val="en-US" w:eastAsia="zh-CN"/>
        </w:rPr>
        <w:t>环境条件</w:t>
      </w:r>
      <w:bookmarkEnd w:id="103"/>
    </w:p>
    <w:p w14:paraId="09DFA883">
      <w:pPr>
        <w:rPr>
          <w:rFonts w:hint="default"/>
          <w:color w:val="000000"/>
          <w:sz w:val="21"/>
          <w:szCs w:val="21"/>
          <w:lang w:val="en-US" w:eastAsia="zh-CN"/>
        </w:rPr>
      </w:pPr>
      <w:r>
        <w:rPr>
          <w:rFonts w:hint="default"/>
          <w:color w:val="000000"/>
          <w:sz w:val="21"/>
          <w:szCs w:val="21"/>
          <w:lang w:val="en-US" w:eastAsia="zh-CN"/>
        </w:rPr>
        <w:t>3.2.2.1</w:t>
      </w:r>
      <w:r>
        <w:rPr>
          <w:rFonts w:hint="eastAsia"/>
          <w:color w:val="000000"/>
          <w:sz w:val="21"/>
          <w:szCs w:val="21"/>
          <w:lang w:val="en-US" w:eastAsia="zh-CN"/>
        </w:rPr>
        <w:t xml:space="preserve"> </w:t>
      </w:r>
      <w:r>
        <w:rPr>
          <w:rFonts w:hint="default"/>
          <w:color w:val="000000"/>
          <w:sz w:val="21"/>
          <w:szCs w:val="21"/>
          <w:lang w:val="en-US" w:eastAsia="zh-CN"/>
        </w:rPr>
        <w:t>自然环境条件</w:t>
      </w:r>
    </w:p>
    <w:p w14:paraId="763DA4E3">
      <w:pPr>
        <w:ind w:firstLine="420"/>
        <w:rPr>
          <w:rFonts w:hint="default" w:ascii="Times New Roman" w:hAnsi="Times New Roman" w:eastAsia="宋体"/>
          <w:sz w:val="21"/>
          <w:szCs w:val="21"/>
          <w:lang w:val="en-US" w:eastAsia="zh-CN"/>
        </w:rPr>
      </w:pPr>
      <w:r>
        <w:rPr>
          <w:rFonts w:hint="default" w:ascii="Times New Roman" w:hAnsi="Times New Roman" w:eastAsia="宋体"/>
          <w:sz w:val="21"/>
          <w:szCs w:val="21"/>
          <w:lang w:val="en-US" w:eastAsia="zh-CN"/>
        </w:rPr>
        <w:t>1 工程地质和水文地质。站区海拔高度、地震基本烈度，地震动峰值加速度。</w:t>
      </w:r>
    </w:p>
    <w:p w14:paraId="6BBDE3B6">
      <w:pPr>
        <w:ind w:firstLine="420"/>
        <w:rPr>
          <w:rFonts w:hint="default" w:ascii="Times New Roman" w:hAnsi="Times New Roman" w:eastAsia="宋体"/>
          <w:sz w:val="21"/>
          <w:szCs w:val="21"/>
          <w:lang w:val="en-US" w:eastAsia="zh-CN"/>
        </w:rPr>
      </w:pPr>
      <w:r>
        <w:rPr>
          <w:rFonts w:hint="default" w:ascii="Times New Roman" w:hAnsi="Times New Roman" w:eastAsia="宋体"/>
          <w:sz w:val="21"/>
          <w:szCs w:val="21"/>
          <w:lang w:val="en-US" w:eastAsia="zh-CN"/>
        </w:rPr>
        <w:t>2 水文气象。气温、降雨量、湿度、风速、风向、暴雨强度、雷暴日数、沙尘、积雪(覆冰)厚度、土壤电阻率和盐雾污染等。</w:t>
      </w:r>
    </w:p>
    <w:p w14:paraId="67248655">
      <w:pPr>
        <w:rPr>
          <w:rFonts w:hint="default"/>
          <w:color w:val="000000"/>
          <w:sz w:val="21"/>
          <w:szCs w:val="21"/>
          <w:lang w:val="en-US" w:eastAsia="zh-CN"/>
        </w:rPr>
      </w:pPr>
      <w:r>
        <w:rPr>
          <w:rFonts w:hint="default"/>
          <w:color w:val="000000"/>
          <w:sz w:val="21"/>
          <w:szCs w:val="21"/>
        </w:rPr>
        <w:t>3.</w:t>
      </w:r>
      <w:r>
        <w:rPr>
          <w:rFonts w:hint="default"/>
          <w:color w:val="000000"/>
          <w:sz w:val="21"/>
          <w:szCs w:val="21"/>
          <w:lang w:val="en-US" w:eastAsia="zh-CN"/>
        </w:rPr>
        <w:t>2</w:t>
      </w:r>
      <w:r>
        <w:rPr>
          <w:color w:val="000000"/>
          <w:sz w:val="21"/>
          <w:szCs w:val="21"/>
        </w:rPr>
        <w:t>.</w:t>
      </w:r>
      <w:r>
        <w:rPr>
          <w:rFonts w:hint="default"/>
          <w:color w:val="000000"/>
          <w:sz w:val="21"/>
          <w:szCs w:val="21"/>
          <w:lang w:val="en-US" w:eastAsia="zh-CN"/>
        </w:rPr>
        <w:t>2.2</w:t>
      </w:r>
      <w:r>
        <w:rPr>
          <w:color w:val="000000"/>
          <w:sz w:val="21"/>
          <w:szCs w:val="21"/>
        </w:rPr>
        <w:t xml:space="preserve"> </w:t>
      </w:r>
      <w:r>
        <w:rPr>
          <w:rFonts w:hint="default"/>
          <w:color w:val="000000"/>
          <w:sz w:val="21"/>
          <w:szCs w:val="21"/>
          <w:lang w:val="en-US" w:eastAsia="zh-CN"/>
        </w:rPr>
        <w:t>设备使用条件</w:t>
      </w:r>
    </w:p>
    <w:p w14:paraId="67D024E2">
      <w:pPr>
        <w:ind w:firstLine="420"/>
        <w:rPr>
          <w:rFonts w:hint="default" w:ascii="Times New Roman" w:hAnsi="Times New Roman" w:eastAsia="宋体"/>
          <w:sz w:val="21"/>
          <w:szCs w:val="21"/>
          <w:lang w:val="en-US" w:eastAsia="zh-CN"/>
        </w:rPr>
      </w:pPr>
      <w:r>
        <w:rPr>
          <w:rFonts w:hint="default" w:ascii="Times New Roman" w:hAnsi="Times New Roman" w:eastAsia="宋体"/>
          <w:sz w:val="21"/>
          <w:szCs w:val="21"/>
          <w:lang w:val="en-US" w:eastAsia="zh-CN"/>
        </w:rPr>
        <w:t>依据站址自然环境条件所确定的设备使用条件主要包括周围空气温度、湿度、海拔高度、太阳辐射强度、覆冰厚度、污秽等级、风速/风压、耐受地震能力等。</w:t>
      </w:r>
    </w:p>
    <w:p w14:paraId="0FFAED28">
      <w:pPr>
        <w:outlineLvl w:val="2"/>
        <w:rPr>
          <w:rFonts w:hint="default" w:ascii="Times New Roman" w:hAnsi="Times New Roman" w:eastAsia="宋体"/>
          <w:color w:val="000000"/>
          <w:sz w:val="21"/>
          <w:szCs w:val="21"/>
          <w:lang w:val="en-US" w:eastAsia="zh-CN"/>
        </w:rPr>
      </w:pPr>
      <w:bookmarkStart w:id="104" w:name="_Toc22130"/>
      <w:r>
        <w:rPr>
          <w:rFonts w:hint="default" w:ascii="Times New Roman" w:hAnsi="Times New Roman" w:eastAsia="宋体"/>
          <w:color w:val="000000"/>
          <w:sz w:val="21"/>
          <w:szCs w:val="21"/>
        </w:rPr>
        <w:t>3.</w:t>
      </w:r>
      <w:r>
        <w:rPr>
          <w:rFonts w:hint="default" w:ascii="Times New Roman" w:hAnsi="Times New Roman" w:eastAsia="宋体"/>
          <w:color w:val="000000"/>
          <w:sz w:val="21"/>
          <w:szCs w:val="21"/>
          <w:lang w:val="en-US" w:eastAsia="zh-CN"/>
        </w:rPr>
        <w:t>2</w:t>
      </w:r>
      <w:r>
        <w:rPr>
          <w:rFonts w:hint="default" w:ascii="Times New Roman" w:hAnsi="Times New Roman" w:eastAsia="宋体"/>
          <w:color w:val="000000"/>
          <w:sz w:val="21"/>
          <w:szCs w:val="21"/>
        </w:rPr>
        <w:t>.</w:t>
      </w:r>
      <w:r>
        <w:rPr>
          <w:rFonts w:hint="default" w:ascii="Times New Roman" w:hAnsi="Times New Roman" w:eastAsia="宋体"/>
          <w:color w:val="000000"/>
          <w:sz w:val="21"/>
          <w:szCs w:val="21"/>
          <w:lang w:val="en-US" w:eastAsia="zh-CN"/>
        </w:rPr>
        <w:t>3</w:t>
      </w:r>
      <w:r>
        <w:rPr>
          <w:rFonts w:hint="default" w:ascii="Times New Roman" w:hAnsi="Times New Roman" w:eastAsia="宋体"/>
          <w:color w:val="000000"/>
          <w:sz w:val="21"/>
          <w:szCs w:val="21"/>
        </w:rPr>
        <w:t xml:space="preserve"> </w:t>
      </w:r>
      <w:r>
        <w:rPr>
          <w:rFonts w:hint="default" w:ascii="Times New Roman" w:hAnsi="Times New Roman" w:eastAsia="宋体"/>
          <w:color w:val="000000"/>
          <w:sz w:val="21"/>
          <w:szCs w:val="21"/>
          <w:lang w:val="en-US" w:eastAsia="zh-CN"/>
        </w:rPr>
        <w:t>运输条件</w:t>
      </w:r>
      <w:bookmarkEnd w:id="104"/>
    </w:p>
    <w:p w14:paraId="409EEEB6">
      <w:pPr>
        <w:ind w:firstLine="420"/>
        <w:rPr>
          <w:rFonts w:hint="default" w:ascii="Times New Roman" w:hAnsi="Times New Roman" w:eastAsia="宋体"/>
          <w:sz w:val="21"/>
          <w:szCs w:val="21"/>
          <w:lang w:val="en-US" w:eastAsia="zh-CN"/>
        </w:rPr>
      </w:pPr>
      <w:r>
        <w:rPr>
          <w:rFonts w:hint="default" w:ascii="Times New Roman" w:hAnsi="Times New Roman" w:eastAsia="宋体"/>
          <w:sz w:val="21"/>
          <w:szCs w:val="21"/>
          <w:lang w:val="en-US" w:eastAsia="zh-CN"/>
        </w:rPr>
        <w:t>说明换流站各种大型电力设备的运输条件，主要包括如下要点：</w:t>
      </w:r>
    </w:p>
    <w:p w14:paraId="7D253AFB">
      <w:pPr>
        <w:ind w:firstLine="420"/>
        <w:rPr>
          <w:rFonts w:hint="default" w:ascii="Times New Roman" w:hAnsi="Times New Roman" w:eastAsia="宋体"/>
          <w:sz w:val="21"/>
          <w:szCs w:val="21"/>
          <w:lang w:val="en-US" w:eastAsia="zh-CN"/>
        </w:rPr>
      </w:pPr>
      <w:r>
        <w:rPr>
          <w:rFonts w:hint="default" w:ascii="Times New Roman" w:hAnsi="Times New Roman" w:eastAsia="宋体"/>
          <w:sz w:val="21"/>
          <w:szCs w:val="21"/>
          <w:lang w:val="en-US" w:eastAsia="zh-CN"/>
        </w:rPr>
        <w:t>（1）运输方式</w:t>
      </w:r>
    </w:p>
    <w:p w14:paraId="1854AC2B">
      <w:pPr>
        <w:ind w:firstLine="420"/>
        <w:rPr>
          <w:rFonts w:hint="default" w:ascii="Times New Roman" w:hAnsi="Times New Roman" w:eastAsia="宋体"/>
          <w:sz w:val="21"/>
          <w:szCs w:val="21"/>
          <w:lang w:val="en-US" w:eastAsia="zh-CN"/>
        </w:rPr>
      </w:pPr>
      <w:r>
        <w:rPr>
          <w:rFonts w:hint="default" w:ascii="Times New Roman" w:hAnsi="Times New Roman" w:eastAsia="宋体"/>
          <w:sz w:val="21"/>
          <w:szCs w:val="21"/>
          <w:lang w:val="en-US" w:eastAsia="zh-CN"/>
        </w:rPr>
        <w:t>（2）大件运输的卸货地点及卸货地点至站址的运输路径和距离</w:t>
      </w:r>
    </w:p>
    <w:p w14:paraId="55E0A5CD">
      <w:pPr>
        <w:ind w:firstLine="420"/>
        <w:rPr>
          <w:rFonts w:hint="default" w:ascii="Times New Roman" w:hAnsi="Times New Roman" w:eastAsia="宋体"/>
          <w:sz w:val="21"/>
          <w:szCs w:val="21"/>
          <w:lang w:val="en-US" w:eastAsia="zh-CN"/>
        </w:rPr>
      </w:pPr>
      <w:r>
        <w:rPr>
          <w:rFonts w:hint="default" w:ascii="Times New Roman" w:hAnsi="Times New Roman" w:eastAsia="宋体"/>
          <w:sz w:val="21"/>
          <w:szCs w:val="21"/>
          <w:lang w:val="en-US" w:eastAsia="zh-CN"/>
        </w:rPr>
        <w:t>（3）最大运输重量</w:t>
      </w:r>
    </w:p>
    <w:p w14:paraId="58E426A7">
      <w:pPr>
        <w:ind w:firstLine="420"/>
        <w:rPr>
          <w:rFonts w:hint="default" w:ascii="Times New Roman" w:hAnsi="Times New Roman" w:eastAsia="宋体"/>
          <w:sz w:val="21"/>
          <w:szCs w:val="21"/>
          <w:lang w:val="en-US" w:eastAsia="zh-CN"/>
        </w:rPr>
      </w:pPr>
      <w:r>
        <w:rPr>
          <w:rFonts w:hint="default" w:ascii="Times New Roman" w:hAnsi="Times New Roman" w:eastAsia="宋体"/>
          <w:sz w:val="21"/>
          <w:szCs w:val="21"/>
          <w:lang w:val="en-US" w:eastAsia="zh-CN"/>
        </w:rPr>
        <w:t>（4）运输限界</w:t>
      </w:r>
    </w:p>
    <w:p w14:paraId="7758093D">
      <w:pPr>
        <w:outlineLvl w:val="2"/>
        <w:rPr>
          <w:rFonts w:hint="default" w:ascii="Times New Roman" w:hAnsi="Times New Roman" w:eastAsia="宋体"/>
          <w:color w:val="000000"/>
          <w:sz w:val="21"/>
          <w:szCs w:val="21"/>
          <w:lang w:val="en-US" w:eastAsia="zh-CN"/>
        </w:rPr>
      </w:pPr>
      <w:bookmarkStart w:id="105" w:name="_Toc25612"/>
      <w:r>
        <w:rPr>
          <w:rFonts w:hint="default" w:ascii="Times New Roman" w:hAnsi="Times New Roman" w:eastAsia="宋体"/>
          <w:color w:val="000000"/>
          <w:sz w:val="21"/>
          <w:szCs w:val="21"/>
        </w:rPr>
        <w:t>3.</w:t>
      </w:r>
      <w:r>
        <w:rPr>
          <w:rFonts w:hint="default" w:ascii="Times New Roman" w:hAnsi="Times New Roman" w:eastAsia="宋体"/>
          <w:color w:val="000000"/>
          <w:sz w:val="21"/>
          <w:szCs w:val="21"/>
          <w:lang w:val="en-US" w:eastAsia="zh-CN"/>
        </w:rPr>
        <w:t>2</w:t>
      </w:r>
      <w:r>
        <w:rPr>
          <w:rFonts w:hint="default" w:ascii="Times New Roman" w:hAnsi="Times New Roman" w:eastAsia="宋体"/>
          <w:color w:val="000000"/>
          <w:sz w:val="21"/>
          <w:szCs w:val="21"/>
        </w:rPr>
        <w:t>.</w:t>
      </w:r>
      <w:r>
        <w:rPr>
          <w:rFonts w:hint="default" w:ascii="Times New Roman" w:hAnsi="Times New Roman" w:eastAsia="宋体"/>
          <w:color w:val="000000"/>
          <w:sz w:val="21"/>
          <w:szCs w:val="21"/>
          <w:lang w:val="en-US" w:eastAsia="zh-CN"/>
        </w:rPr>
        <w:t>4</w:t>
      </w:r>
      <w:r>
        <w:rPr>
          <w:rFonts w:hint="default" w:ascii="Times New Roman" w:hAnsi="Times New Roman" w:eastAsia="宋体"/>
          <w:color w:val="000000"/>
          <w:sz w:val="21"/>
          <w:szCs w:val="21"/>
        </w:rPr>
        <w:t xml:space="preserve"> </w:t>
      </w:r>
      <w:r>
        <w:rPr>
          <w:rFonts w:hint="eastAsia"/>
          <w:color w:val="000000"/>
          <w:sz w:val="21"/>
          <w:szCs w:val="21"/>
          <w:lang w:val="en-US" w:eastAsia="zh-CN"/>
        </w:rPr>
        <w:t>交流</w:t>
      </w:r>
      <w:r>
        <w:rPr>
          <w:rFonts w:hint="default" w:ascii="Times New Roman" w:hAnsi="Times New Roman" w:eastAsia="宋体"/>
          <w:color w:val="000000"/>
          <w:sz w:val="21"/>
          <w:szCs w:val="21"/>
          <w:lang w:val="en-US" w:eastAsia="zh-CN"/>
        </w:rPr>
        <w:t>系统条件</w:t>
      </w:r>
      <w:bookmarkEnd w:id="105"/>
    </w:p>
    <w:p w14:paraId="16078ECF">
      <w:pPr>
        <w:rPr>
          <w:rFonts w:hint="default"/>
          <w:color w:val="000000"/>
          <w:sz w:val="21"/>
          <w:szCs w:val="21"/>
          <w:lang w:eastAsia="zh-CN"/>
        </w:rPr>
      </w:pPr>
      <w:r>
        <w:rPr>
          <w:rFonts w:hint="default"/>
          <w:color w:val="000000"/>
          <w:sz w:val="21"/>
          <w:szCs w:val="21"/>
        </w:rPr>
        <w:t>3.</w:t>
      </w:r>
      <w:r>
        <w:rPr>
          <w:rFonts w:hint="default"/>
          <w:color w:val="000000"/>
          <w:sz w:val="21"/>
          <w:szCs w:val="21"/>
          <w:lang w:val="en-US" w:eastAsia="zh-CN"/>
        </w:rPr>
        <w:t>2</w:t>
      </w:r>
      <w:r>
        <w:rPr>
          <w:color w:val="000000"/>
          <w:sz w:val="21"/>
          <w:szCs w:val="21"/>
        </w:rPr>
        <w:t>.</w:t>
      </w:r>
      <w:r>
        <w:rPr>
          <w:rFonts w:hint="default"/>
          <w:color w:val="000000"/>
          <w:sz w:val="21"/>
          <w:szCs w:val="21"/>
          <w:lang w:val="en-US" w:eastAsia="zh-CN"/>
        </w:rPr>
        <w:t>4.1</w:t>
      </w:r>
      <w:r>
        <w:rPr>
          <w:color w:val="000000"/>
          <w:sz w:val="21"/>
          <w:szCs w:val="21"/>
        </w:rPr>
        <w:t xml:space="preserve"> </w:t>
      </w:r>
      <w:r>
        <w:rPr>
          <w:rFonts w:hint="default"/>
          <w:color w:val="000000"/>
          <w:sz w:val="21"/>
          <w:szCs w:val="21"/>
          <w:lang w:val="en-US" w:eastAsia="zh-CN"/>
        </w:rPr>
        <w:t>描述与直流输电工程相关的送端、受端</w:t>
      </w:r>
      <w:r>
        <w:rPr>
          <w:rFonts w:hint="default"/>
          <w:color w:val="000000"/>
          <w:sz w:val="21"/>
          <w:szCs w:val="21"/>
        </w:rPr>
        <w:t>电力系统现状及</w:t>
      </w:r>
      <w:r>
        <w:rPr>
          <w:rFonts w:hint="default"/>
          <w:color w:val="000000"/>
          <w:sz w:val="21"/>
          <w:szCs w:val="21"/>
          <w:lang w:val="en-US" w:eastAsia="zh-CN"/>
        </w:rPr>
        <w:t>系统</w:t>
      </w:r>
      <w:r>
        <w:rPr>
          <w:rFonts w:hint="default"/>
          <w:color w:val="000000"/>
          <w:sz w:val="21"/>
          <w:szCs w:val="21"/>
        </w:rPr>
        <w:t>发展规划</w:t>
      </w:r>
      <w:r>
        <w:rPr>
          <w:rFonts w:hint="default"/>
          <w:color w:val="000000"/>
          <w:sz w:val="21"/>
          <w:szCs w:val="21"/>
          <w:lang w:eastAsia="zh-CN"/>
        </w:rPr>
        <w:t>。</w:t>
      </w:r>
    </w:p>
    <w:p w14:paraId="66264D58">
      <w:pPr>
        <w:rPr>
          <w:rFonts w:hint="default"/>
          <w:color w:val="000000"/>
          <w:sz w:val="21"/>
          <w:szCs w:val="21"/>
          <w:lang w:eastAsia="zh-CN"/>
        </w:rPr>
      </w:pPr>
      <w:r>
        <w:rPr>
          <w:rFonts w:hint="default"/>
          <w:color w:val="000000"/>
          <w:sz w:val="21"/>
          <w:szCs w:val="21"/>
        </w:rPr>
        <w:t>3.</w:t>
      </w:r>
      <w:r>
        <w:rPr>
          <w:rFonts w:hint="default"/>
          <w:color w:val="000000"/>
          <w:sz w:val="21"/>
          <w:szCs w:val="21"/>
          <w:lang w:val="en-US" w:eastAsia="zh-CN"/>
        </w:rPr>
        <w:t>2</w:t>
      </w:r>
      <w:r>
        <w:rPr>
          <w:color w:val="000000"/>
          <w:sz w:val="21"/>
          <w:szCs w:val="21"/>
        </w:rPr>
        <w:t>.</w:t>
      </w:r>
      <w:r>
        <w:rPr>
          <w:rFonts w:hint="default"/>
          <w:color w:val="000000"/>
          <w:sz w:val="21"/>
          <w:szCs w:val="21"/>
          <w:lang w:val="en-US" w:eastAsia="zh-CN"/>
        </w:rPr>
        <w:t>4.2</w:t>
      </w:r>
      <w:r>
        <w:rPr>
          <w:color w:val="000000"/>
          <w:sz w:val="21"/>
          <w:szCs w:val="21"/>
        </w:rPr>
        <w:t xml:space="preserve"> </w:t>
      </w:r>
      <w:r>
        <w:rPr>
          <w:rFonts w:hint="default"/>
          <w:color w:val="000000"/>
          <w:sz w:val="21"/>
          <w:szCs w:val="21"/>
          <w:lang w:val="en-US" w:eastAsia="zh-CN"/>
        </w:rPr>
        <w:t>描述直流输电工程送端和受端换流站接入系统方案，应包括远期和本期方案</w:t>
      </w:r>
      <w:r>
        <w:rPr>
          <w:rFonts w:hint="default"/>
          <w:color w:val="000000"/>
          <w:sz w:val="21"/>
          <w:szCs w:val="21"/>
          <w:lang w:eastAsia="zh-CN"/>
        </w:rPr>
        <w:t>。</w:t>
      </w:r>
    </w:p>
    <w:p w14:paraId="0465D1AD">
      <w:pPr>
        <w:rPr>
          <w:rFonts w:hint="default"/>
          <w:color w:val="000000"/>
          <w:sz w:val="21"/>
          <w:szCs w:val="21"/>
          <w:lang w:val="en-US" w:eastAsia="zh-CN"/>
        </w:rPr>
      </w:pPr>
      <w:r>
        <w:rPr>
          <w:rFonts w:hint="default"/>
          <w:color w:val="000000"/>
          <w:sz w:val="21"/>
          <w:szCs w:val="21"/>
        </w:rPr>
        <w:t>3.</w:t>
      </w:r>
      <w:r>
        <w:rPr>
          <w:rFonts w:hint="default"/>
          <w:color w:val="000000"/>
          <w:sz w:val="21"/>
          <w:szCs w:val="21"/>
          <w:lang w:val="en-US" w:eastAsia="zh-CN"/>
        </w:rPr>
        <w:t>2</w:t>
      </w:r>
      <w:r>
        <w:rPr>
          <w:color w:val="000000"/>
          <w:sz w:val="21"/>
          <w:szCs w:val="21"/>
        </w:rPr>
        <w:t>.</w:t>
      </w:r>
      <w:r>
        <w:rPr>
          <w:rFonts w:hint="default"/>
          <w:color w:val="000000"/>
          <w:sz w:val="21"/>
          <w:szCs w:val="21"/>
          <w:lang w:val="en-US" w:eastAsia="zh-CN"/>
        </w:rPr>
        <w:t>4.3 换流站交流系统数据。应包括换流站交流母线稳态电压变化范围、正常及扰动后的频率变化、负序电压、交流短路电流、背景谐波、谐波阻抗、交流系统等值等内容。</w:t>
      </w:r>
    </w:p>
    <w:p w14:paraId="4E6CAD97">
      <w:pPr>
        <w:outlineLvl w:val="2"/>
        <w:rPr>
          <w:rFonts w:hint="default" w:ascii="Times New Roman" w:hAnsi="Times New Roman" w:eastAsia="宋体"/>
          <w:color w:val="000000"/>
          <w:sz w:val="21"/>
          <w:szCs w:val="21"/>
          <w:lang w:val="en-US" w:eastAsia="zh-CN"/>
        </w:rPr>
      </w:pPr>
      <w:bookmarkStart w:id="106" w:name="_Toc18158"/>
      <w:r>
        <w:rPr>
          <w:rFonts w:hint="default" w:ascii="Times New Roman" w:hAnsi="Times New Roman" w:eastAsia="宋体"/>
          <w:color w:val="000000"/>
          <w:sz w:val="21"/>
          <w:szCs w:val="21"/>
          <w:lang w:val="en-US" w:eastAsia="zh-CN"/>
        </w:rPr>
        <w:t>3.2.5 直流线路和接地极线路设计参数</w:t>
      </w:r>
      <w:bookmarkEnd w:id="106"/>
    </w:p>
    <w:p w14:paraId="1F771FC5">
      <w:pPr>
        <w:rPr>
          <w:highlight w:val="none"/>
        </w:rPr>
      </w:pPr>
      <w:bookmarkStart w:id="107" w:name="_Toc22900"/>
      <w:bookmarkStart w:id="108" w:name="_Toc13724"/>
      <w:bookmarkStart w:id="109" w:name="_Toc22312"/>
      <w:bookmarkStart w:id="110" w:name="_Toc22184"/>
      <w:r>
        <w:rPr>
          <w:rFonts w:hint="default"/>
          <w:highlight w:val="none"/>
          <w:lang w:val="en-US" w:eastAsia="zh-CN"/>
        </w:rPr>
        <w:t>3.2.5.1</w:t>
      </w:r>
      <w:r>
        <w:rPr>
          <w:rFonts w:hint="eastAsia"/>
          <w:highlight w:val="none"/>
          <w:lang w:val="en-US" w:eastAsia="zh-CN"/>
        </w:rPr>
        <w:t xml:space="preserve"> </w:t>
      </w:r>
      <w:r>
        <w:rPr>
          <w:rFonts w:hint="default"/>
          <w:highlight w:val="none"/>
          <w:lang w:val="en-US" w:eastAsia="zh-CN"/>
        </w:rPr>
        <w:t>直流线路设计参数</w:t>
      </w:r>
      <w:bookmarkEnd w:id="107"/>
      <w:bookmarkEnd w:id="108"/>
      <w:bookmarkEnd w:id="109"/>
      <w:bookmarkEnd w:id="110"/>
    </w:p>
    <w:p w14:paraId="0B4EE416">
      <w:pPr>
        <w:rPr>
          <w:rFonts w:hint="default"/>
          <w:color w:val="000000"/>
          <w:sz w:val="21"/>
          <w:szCs w:val="21"/>
          <w:highlight w:val="none"/>
          <w:lang w:eastAsia="zh-CN"/>
        </w:rPr>
      </w:pPr>
      <w:r>
        <w:rPr>
          <w:rFonts w:hint="default"/>
          <w:color w:val="000000"/>
          <w:sz w:val="21"/>
          <w:szCs w:val="21"/>
          <w:highlight w:val="none"/>
        </w:rPr>
        <w:t>3.</w:t>
      </w:r>
      <w:r>
        <w:rPr>
          <w:rFonts w:hint="default"/>
          <w:color w:val="000000"/>
          <w:sz w:val="21"/>
          <w:szCs w:val="21"/>
          <w:highlight w:val="none"/>
          <w:lang w:val="en-US" w:eastAsia="zh-CN"/>
        </w:rPr>
        <w:t>2</w:t>
      </w:r>
      <w:r>
        <w:rPr>
          <w:color w:val="000000"/>
          <w:sz w:val="21"/>
          <w:szCs w:val="21"/>
          <w:highlight w:val="none"/>
        </w:rPr>
        <w:t>.</w:t>
      </w:r>
      <w:r>
        <w:rPr>
          <w:rFonts w:hint="eastAsia"/>
          <w:color w:val="000000"/>
          <w:sz w:val="21"/>
          <w:szCs w:val="21"/>
          <w:highlight w:val="none"/>
          <w:lang w:val="en-US" w:eastAsia="zh-CN"/>
        </w:rPr>
        <w:t>5</w:t>
      </w:r>
      <w:r>
        <w:rPr>
          <w:rFonts w:hint="default"/>
          <w:color w:val="000000"/>
          <w:sz w:val="21"/>
          <w:szCs w:val="21"/>
          <w:highlight w:val="none"/>
          <w:lang w:val="en-US" w:eastAsia="zh-CN"/>
        </w:rPr>
        <w:t>.</w:t>
      </w:r>
      <w:r>
        <w:rPr>
          <w:rFonts w:hint="eastAsia"/>
          <w:color w:val="000000"/>
          <w:sz w:val="21"/>
          <w:szCs w:val="21"/>
          <w:highlight w:val="none"/>
          <w:lang w:val="en-US" w:eastAsia="zh-CN"/>
        </w:rPr>
        <w:t>1.</w:t>
      </w:r>
      <w:r>
        <w:rPr>
          <w:rFonts w:hint="default"/>
          <w:color w:val="000000"/>
          <w:sz w:val="21"/>
          <w:szCs w:val="21"/>
          <w:highlight w:val="none"/>
          <w:lang w:val="en-US" w:eastAsia="zh-CN"/>
        </w:rPr>
        <w:t>1</w:t>
      </w:r>
      <w:r>
        <w:rPr>
          <w:color w:val="000000"/>
          <w:sz w:val="21"/>
          <w:szCs w:val="21"/>
          <w:highlight w:val="none"/>
        </w:rPr>
        <w:t xml:space="preserve"> </w:t>
      </w:r>
      <w:r>
        <w:rPr>
          <w:rFonts w:hint="eastAsia"/>
          <w:color w:val="000000"/>
          <w:sz w:val="21"/>
          <w:szCs w:val="21"/>
          <w:highlight w:val="none"/>
          <w:lang w:val="en-US" w:eastAsia="zh-CN"/>
        </w:rPr>
        <w:t>需提供直流线路的最大运行电阻和最小运行电阻，其中最大运行电阻需考虑最高环境温度以及最大的导线温升，最小运行电阻需要考虑最低环境温度</w:t>
      </w:r>
      <w:r>
        <w:rPr>
          <w:rFonts w:hint="default"/>
          <w:color w:val="000000"/>
          <w:sz w:val="21"/>
          <w:szCs w:val="21"/>
          <w:highlight w:val="none"/>
          <w:lang w:eastAsia="zh-CN"/>
        </w:rPr>
        <w:t>。</w:t>
      </w:r>
    </w:p>
    <w:p w14:paraId="0FE9031F">
      <w:pPr>
        <w:rPr>
          <w:rFonts w:hint="default"/>
          <w:color w:val="000000"/>
          <w:sz w:val="21"/>
          <w:szCs w:val="21"/>
          <w:highlight w:val="none"/>
          <w:lang w:eastAsia="zh-CN"/>
        </w:rPr>
      </w:pPr>
      <w:r>
        <w:rPr>
          <w:rFonts w:hint="default"/>
          <w:color w:val="000000"/>
          <w:sz w:val="21"/>
          <w:szCs w:val="21"/>
          <w:highlight w:val="none"/>
        </w:rPr>
        <w:t>3.</w:t>
      </w:r>
      <w:r>
        <w:rPr>
          <w:rFonts w:hint="default"/>
          <w:color w:val="000000"/>
          <w:sz w:val="21"/>
          <w:szCs w:val="21"/>
          <w:highlight w:val="none"/>
          <w:lang w:val="en-US" w:eastAsia="zh-CN"/>
        </w:rPr>
        <w:t>2</w:t>
      </w:r>
      <w:r>
        <w:rPr>
          <w:color w:val="000000"/>
          <w:sz w:val="21"/>
          <w:szCs w:val="21"/>
          <w:highlight w:val="none"/>
        </w:rPr>
        <w:t>.</w:t>
      </w:r>
      <w:r>
        <w:rPr>
          <w:rFonts w:hint="eastAsia"/>
          <w:color w:val="000000"/>
          <w:sz w:val="21"/>
          <w:szCs w:val="21"/>
          <w:highlight w:val="none"/>
          <w:lang w:val="en-US" w:eastAsia="zh-CN"/>
        </w:rPr>
        <w:t>5</w:t>
      </w:r>
      <w:r>
        <w:rPr>
          <w:rFonts w:hint="default"/>
          <w:color w:val="000000"/>
          <w:sz w:val="21"/>
          <w:szCs w:val="21"/>
          <w:highlight w:val="none"/>
          <w:lang w:val="en-US" w:eastAsia="zh-CN"/>
        </w:rPr>
        <w:t>.</w:t>
      </w:r>
      <w:r>
        <w:rPr>
          <w:rFonts w:hint="eastAsia"/>
          <w:color w:val="000000"/>
          <w:sz w:val="21"/>
          <w:szCs w:val="21"/>
          <w:highlight w:val="none"/>
          <w:lang w:val="en-US" w:eastAsia="zh-CN"/>
        </w:rPr>
        <w:t>1.</w:t>
      </w:r>
      <w:r>
        <w:rPr>
          <w:rFonts w:hint="default"/>
          <w:color w:val="000000"/>
          <w:sz w:val="21"/>
          <w:szCs w:val="21"/>
          <w:highlight w:val="none"/>
          <w:lang w:val="en-US" w:eastAsia="zh-CN"/>
        </w:rPr>
        <w:t>2</w:t>
      </w:r>
      <w:r>
        <w:rPr>
          <w:color w:val="000000"/>
          <w:sz w:val="21"/>
          <w:szCs w:val="21"/>
          <w:highlight w:val="none"/>
        </w:rPr>
        <w:t xml:space="preserve"> </w:t>
      </w:r>
      <w:r>
        <w:rPr>
          <w:rFonts w:hint="eastAsia"/>
          <w:color w:val="000000"/>
          <w:sz w:val="21"/>
          <w:szCs w:val="21"/>
          <w:highlight w:val="none"/>
          <w:lang w:val="en-US" w:eastAsia="zh-CN"/>
        </w:rPr>
        <w:t>需提供直流导线的长度以及长度偏差</w:t>
      </w:r>
      <w:r>
        <w:rPr>
          <w:rFonts w:hint="eastAsia"/>
          <w:color w:val="000000"/>
          <w:sz w:val="21"/>
          <w:szCs w:val="21"/>
          <w:highlight w:val="none"/>
          <w:lang w:eastAsia="zh-CN"/>
        </w:rPr>
        <w:t>、</w:t>
      </w:r>
      <w:r>
        <w:rPr>
          <w:rFonts w:hint="eastAsia"/>
          <w:color w:val="000000"/>
          <w:sz w:val="21"/>
          <w:szCs w:val="21"/>
          <w:highlight w:val="none"/>
          <w:lang w:val="en-US" w:eastAsia="zh-CN"/>
        </w:rPr>
        <w:t>线径、电阻率、分裂数、分裂间距、平均挂点高度、平均弧垂、正负极的平均距离等</w:t>
      </w:r>
      <w:r>
        <w:rPr>
          <w:rFonts w:hint="default"/>
          <w:color w:val="000000"/>
          <w:sz w:val="21"/>
          <w:szCs w:val="21"/>
          <w:highlight w:val="none"/>
          <w:lang w:eastAsia="zh-CN"/>
        </w:rPr>
        <w:t>。</w:t>
      </w:r>
    </w:p>
    <w:p w14:paraId="347CA0F2">
      <w:pPr>
        <w:rPr>
          <w:rFonts w:hint="default"/>
          <w:color w:val="000000"/>
          <w:sz w:val="21"/>
          <w:szCs w:val="21"/>
          <w:highlight w:val="none"/>
          <w:lang w:eastAsia="zh-CN"/>
        </w:rPr>
      </w:pPr>
      <w:r>
        <w:rPr>
          <w:rFonts w:hint="default"/>
          <w:color w:val="000000"/>
          <w:sz w:val="21"/>
          <w:szCs w:val="21"/>
          <w:highlight w:val="none"/>
        </w:rPr>
        <w:t>3.</w:t>
      </w:r>
      <w:r>
        <w:rPr>
          <w:rFonts w:hint="default"/>
          <w:color w:val="000000"/>
          <w:sz w:val="21"/>
          <w:szCs w:val="21"/>
          <w:highlight w:val="none"/>
          <w:lang w:val="en-US" w:eastAsia="zh-CN"/>
        </w:rPr>
        <w:t>2</w:t>
      </w:r>
      <w:r>
        <w:rPr>
          <w:color w:val="000000"/>
          <w:sz w:val="21"/>
          <w:szCs w:val="21"/>
          <w:highlight w:val="none"/>
        </w:rPr>
        <w:t>.</w:t>
      </w:r>
      <w:r>
        <w:rPr>
          <w:rFonts w:hint="eastAsia"/>
          <w:color w:val="000000"/>
          <w:sz w:val="21"/>
          <w:szCs w:val="21"/>
          <w:highlight w:val="none"/>
          <w:lang w:val="en-US" w:eastAsia="zh-CN"/>
        </w:rPr>
        <w:t>5</w:t>
      </w:r>
      <w:r>
        <w:rPr>
          <w:rFonts w:hint="default"/>
          <w:color w:val="000000"/>
          <w:sz w:val="21"/>
          <w:szCs w:val="21"/>
          <w:highlight w:val="none"/>
          <w:lang w:val="en-US" w:eastAsia="zh-CN"/>
        </w:rPr>
        <w:t>.</w:t>
      </w:r>
      <w:r>
        <w:rPr>
          <w:rFonts w:hint="eastAsia"/>
          <w:color w:val="000000"/>
          <w:sz w:val="21"/>
          <w:szCs w:val="21"/>
          <w:highlight w:val="none"/>
          <w:lang w:val="en-US" w:eastAsia="zh-CN"/>
        </w:rPr>
        <w:t>1.3</w:t>
      </w:r>
      <w:r>
        <w:rPr>
          <w:color w:val="000000"/>
          <w:sz w:val="21"/>
          <w:szCs w:val="21"/>
          <w:highlight w:val="none"/>
        </w:rPr>
        <w:t xml:space="preserve"> </w:t>
      </w:r>
      <w:r>
        <w:rPr>
          <w:rFonts w:hint="eastAsia"/>
          <w:color w:val="000000"/>
          <w:sz w:val="21"/>
          <w:szCs w:val="21"/>
          <w:highlight w:val="none"/>
          <w:lang w:val="en-US" w:eastAsia="zh-CN"/>
        </w:rPr>
        <w:t>需提供直流地线的线径、电阻率、分裂数、分裂间距、平均挂点高度、平均弧垂等</w:t>
      </w:r>
      <w:r>
        <w:rPr>
          <w:rFonts w:hint="default"/>
          <w:color w:val="000000"/>
          <w:sz w:val="21"/>
          <w:szCs w:val="21"/>
          <w:highlight w:val="none"/>
          <w:lang w:eastAsia="zh-CN"/>
        </w:rPr>
        <w:t>。</w:t>
      </w:r>
    </w:p>
    <w:p w14:paraId="4EDD74A6">
      <w:pPr>
        <w:rPr>
          <w:rFonts w:hint="default"/>
          <w:highlight w:val="none"/>
          <w:lang w:val="en-US" w:eastAsia="zh-CN"/>
        </w:rPr>
      </w:pPr>
      <w:bookmarkStart w:id="111" w:name="_Toc16560"/>
      <w:bookmarkStart w:id="112" w:name="_Toc23690"/>
      <w:bookmarkStart w:id="113" w:name="_Toc29514"/>
      <w:bookmarkStart w:id="114" w:name="_Toc30582"/>
      <w:r>
        <w:rPr>
          <w:rFonts w:hint="default"/>
          <w:highlight w:val="none"/>
          <w:lang w:val="en-US" w:eastAsia="zh-CN"/>
        </w:rPr>
        <w:t>3.2.5.2</w:t>
      </w:r>
      <w:r>
        <w:rPr>
          <w:rFonts w:hint="eastAsia"/>
          <w:highlight w:val="none"/>
          <w:lang w:val="en-US" w:eastAsia="zh-CN"/>
        </w:rPr>
        <w:t xml:space="preserve"> </w:t>
      </w:r>
      <w:r>
        <w:rPr>
          <w:rFonts w:hint="default"/>
          <w:highlight w:val="none"/>
          <w:lang w:val="en-US" w:eastAsia="zh-CN"/>
        </w:rPr>
        <w:t>接地极线路设计参数</w:t>
      </w:r>
      <w:bookmarkEnd w:id="111"/>
      <w:bookmarkEnd w:id="112"/>
      <w:bookmarkEnd w:id="113"/>
      <w:bookmarkEnd w:id="114"/>
    </w:p>
    <w:p w14:paraId="237DAF8F">
      <w:pPr>
        <w:rPr>
          <w:rFonts w:hint="default"/>
          <w:color w:val="000000"/>
          <w:sz w:val="21"/>
          <w:szCs w:val="21"/>
          <w:lang w:val="en-US" w:eastAsia="zh-CN"/>
        </w:rPr>
      </w:pPr>
      <w:r>
        <w:rPr>
          <w:rFonts w:hint="default"/>
          <w:color w:val="000000"/>
          <w:sz w:val="21"/>
          <w:szCs w:val="21"/>
        </w:rPr>
        <w:t>3.</w:t>
      </w:r>
      <w:r>
        <w:rPr>
          <w:rFonts w:hint="default"/>
          <w:color w:val="000000"/>
          <w:sz w:val="21"/>
          <w:szCs w:val="21"/>
          <w:lang w:val="en-US" w:eastAsia="zh-CN"/>
        </w:rPr>
        <w:t>2</w:t>
      </w:r>
      <w:r>
        <w:rPr>
          <w:color w:val="000000"/>
          <w:sz w:val="21"/>
          <w:szCs w:val="21"/>
        </w:rPr>
        <w:t>.</w:t>
      </w:r>
      <w:r>
        <w:rPr>
          <w:rFonts w:hint="eastAsia"/>
          <w:color w:val="000000"/>
          <w:sz w:val="21"/>
          <w:szCs w:val="21"/>
          <w:lang w:val="en-US" w:eastAsia="zh-CN"/>
        </w:rPr>
        <w:t>5</w:t>
      </w:r>
      <w:r>
        <w:rPr>
          <w:rFonts w:hint="default"/>
          <w:color w:val="000000"/>
          <w:sz w:val="21"/>
          <w:szCs w:val="21"/>
          <w:lang w:val="en-US" w:eastAsia="zh-CN"/>
        </w:rPr>
        <w:t>.</w:t>
      </w:r>
      <w:r>
        <w:rPr>
          <w:rFonts w:hint="eastAsia"/>
          <w:color w:val="000000"/>
          <w:sz w:val="21"/>
          <w:szCs w:val="21"/>
          <w:lang w:val="en-US" w:eastAsia="zh-CN"/>
        </w:rPr>
        <w:t>2.</w:t>
      </w:r>
      <w:r>
        <w:rPr>
          <w:rFonts w:hint="default"/>
          <w:color w:val="000000"/>
          <w:sz w:val="21"/>
          <w:szCs w:val="21"/>
          <w:lang w:val="en-US" w:eastAsia="zh-CN"/>
        </w:rPr>
        <w:t>1</w:t>
      </w:r>
      <w:r>
        <w:rPr>
          <w:color w:val="000000"/>
          <w:sz w:val="21"/>
          <w:szCs w:val="21"/>
        </w:rPr>
        <w:t xml:space="preserve"> </w:t>
      </w:r>
      <w:r>
        <w:rPr>
          <w:rFonts w:hint="eastAsia"/>
          <w:color w:val="000000"/>
          <w:sz w:val="21"/>
          <w:szCs w:val="21"/>
          <w:lang w:val="en-US" w:eastAsia="zh-CN"/>
        </w:rPr>
        <w:t>需提供接地极线路的最大运行电阻和最小运行电阻，其中最大运行电阻需考虑最高环境温度以及最大的导线温升，最小运行电阻需要考虑最低环境温度</w:t>
      </w:r>
      <w:r>
        <w:rPr>
          <w:rFonts w:hint="default"/>
          <w:color w:val="000000"/>
          <w:sz w:val="21"/>
          <w:szCs w:val="21"/>
          <w:lang w:eastAsia="zh-CN"/>
        </w:rPr>
        <w:t>。</w:t>
      </w:r>
      <w:r>
        <w:rPr>
          <w:rFonts w:hint="eastAsia"/>
          <w:color w:val="000000"/>
          <w:sz w:val="21"/>
          <w:szCs w:val="21"/>
          <w:lang w:val="en-US" w:eastAsia="zh-CN"/>
        </w:rPr>
        <w:t>需提供接地极的电阻。</w:t>
      </w:r>
    </w:p>
    <w:p w14:paraId="4DAA5835">
      <w:pPr>
        <w:rPr>
          <w:rFonts w:hint="default"/>
          <w:color w:val="000000"/>
          <w:sz w:val="21"/>
          <w:szCs w:val="21"/>
          <w:lang w:eastAsia="zh-CN"/>
        </w:rPr>
      </w:pPr>
      <w:r>
        <w:rPr>
          <w:rFonts w:hint="default"/>
          <w:color w:val="000000"/>
          <w:sz w:val="21"/>
          <w:szCs w:val="21"/>
        </w:rPr>
        <w:t>3.</w:t>
      </w:r>
      <w:r>
        <w:rPr>
          <w:rFonts w:hint="default"/>
          <w:color w:val="000000"/>
          <w:sz w:val="21"/>
          <w:szCs w:val="21"/>
          <w:lang w:val="en-US" w:eastAsia="zh-CN"/>
        </w:rPr>
        <w:t>2</w:t>
      </w:r>
      <w:r>
        <w:rPr>
          <w:color w:val="000000"/>
          <w:sz w:val="21"/>
          <w:szCs w:val="21"/>
        </w:rPr>
        <w:t>.</w:t>
      </w:r>
      <w:r>
        <w:rPr>
          <w:rFonts w:hint="eastAsia"/>
          <w:color w:val="000000"/>
          <w:sz w:val="21"/>
          <w:szCs w:val="21"/>
          <w:lang w:val="en-US" w:eastAsia="zh-CN"/>
        </w:rPr>
        <w:t>5</w:t>
      </w:r>
      <w:r>
        <w:rPr>
          <w:rFonts w:hint="default"/>
          <w:color w:val="000000"/>
          <w:sz w:val="21"/>
          <w:szCs w:val="21"/>
          <w:lang w:val="en-US" w:eastAsia="zh-CN"/>
        </w:rPr>
        <w:t>.</w:t>
      </w:r>
      <w:r>
        <w:rPr>
          <w:rFonts w:hint="eastAsia"/>
          <w:color w:val="000000"/>
          <w:sz w:val="21"/>
          <w:szCs w:val="21"/>
          <w:lang w:val="en-US" w:eastAsia="zh-CN"/>
        </w:rPr>
        <w:t>2.</w:t>
      </w:r>
      <w:r>
        <w:rPr>
          <w:rFonts w:hint="default"/>
          <w:color w:val="000000"/>
          <w:sz w:val="21"/>
          <w:szCs w:val="21"/>
          <w:lang w:val="en-US" w:eastAsia="zh-CN"/>
        </w:rPr>
        <w:t>2</w:t>
      </w:r>
      <w:r>
        <w:rPr>
          <w:color w:val="000000"/>
          <w:sz w:val="21"/>
          <w:szCs w:val="21"/>
        </w:rPr>
        <w:t xml:space="preserve"> </w:t>
      </w:r>
      <w:r>
        <w:rPr>
          <w:rFonts w:hint="eastAsia"/>
          <w:color w:val="000000"/>
          <w:sz w:val="21"/>
          <w:szCs w:val="21"/>
          <w:lang w:val="en-US" w:eastAsia="zh-CN"/>
        </w:rPr>
        <w:t>需提供接地极线路的长度以及长度偏差</w:t>
      </w:r>
      <w:r>
        <w:rPr>
          <w:rFonts w:hint="eastAsia"/>
          <w:color w:val="000000"/>
          <w:sz w:val="21"/>
          <w:szCs w:val="21"/>
          <w:lang w:eastAsia="zh-CN"/>
        </w:rPr>
        <w:t>、</w:t>
      </w:r>
      <w:r>
        <w:rPr>
          <w:rFonts w:hint="eastAsia"/>
          <w:color w:val="000000"/>
          <w:sz w:val="21"/>
          <w:szCs w:val="21"/>
          <w:lang w:val="en-US" w:eastAsia="zh-CN"/>
        </w:rPr>
        <w:t>线径、电阻率、分裂数、分裂间距、平均挂点高度、平均弧垂、正负极的平均距离等</w:t>
      </w:r>
      <w:r>
        <w:rPr>
          <w:rFonts w:hint="default"/>
          <w:color w:val="000000"/>
          <w:sz w:val="21"/>
          <w:szCs w:val="21"/>
          <w:lang w:eastAsia="zh-CN"/>
        </w:rPr>
        <w:t>。</w:t>
      </w:r>
    </w:p>
    <w:p w14:paraId="7377FADE">
      <w:pPr>
        <w:rPr>
          <w:rFonts w:hint="default"/>
          <w:color w:val="000000"/>
          <w:sz w:val="21"/>
          <w:szCs w:val="21"/>
          <w:lang w:eastAsia="zh-CN"/>
        </w:rPr>
      </w:pPr>
      <w:r>
        <w:rPr>
          <w:rFonts w:hint="default"/>
          <w:color w:val="000000"/>
          <w:sz w:val="21"/>
          <w:szCs w:val="21"/>
        </w:rPr>
        <w:t>3.</w:t>
      </w:r>
      <w:r>
        <w:rPr>
          <w:rFonts w:hint="default"/>
          <w:color w:val="000000"/>
          <w:sz w:val="21"/>
          <w:szCs w:val="21"/>
          <w:lang w:val="en-US" w:eastAsia="zh-CN"/>
        </w:rPr>
        <w:t>2</w:t>
      </w:r>
      <w:r>
        <w:rPr>
          <w:color w:val="000000"/>
          <w:sz w:val="21"/>
          <w:szCs w:val="21"/>
        </w:rPr>
        <w:t>.</w:t>
      </w:r>
      <w:r>
        <w:rPr>
          <w:rFonts w:hint="eastAsia"/>
          <w:color w:val="000000"/>
          <w:sz w:val="21"/>
          <w:szCs w:val="21"/>
          <w:lang w:val="en-US" w:eastAsia="zh-CN"/>
        </w:rPr>
        <w:t>5</w:t>
      </w:r>
      <w:r>
        <w:rPr>
          <w:rFonts w:hint="default"/>
          <w:color w:val="000000"/>
          <w:sz w:val="21"/>
          <w:szCs w:val="21"/>
          <w:lang w:val="en-US" w:eastAsia="zh-CN"/>
        </w:rPr>
        <w:t>.</w:t>
      </w:r>
      <w:r>
        <w:rPr>
          <w:rFonts w:hint="eastAsia"/>
          <w:color w:val="000000"/>
          <w:sz w:val="21"/>
          <w:szCs w:val="21"/>
          <w:lang w:val="en-US" w:eastAsia="zh-CN"/>
        </w:rPr>
        <w:t>2.3</w:t>
      </w:r>
      <w:r>
        <w:rPr>
          <w:color w:val="000000"/>
          <w:sz w:val="21"/>
          <w:szCs w:val="21"/>
        </w:rPr>
        <w:t xml:space="preserve"> </w:t>
      </w:r>
      <w:r>
        <w:rPr>
          <w:rFonts w:hint="eastAsia"/>
          <w:color w:val="000000"/>
          <w:sz w:val="21"/>
          <w:szCs w:val="21"/>
          <w:lang w:val="en-US" w:eastAsia="zh-CN"/>
        </w:rPr>
        <w:t>需提供接地极线路地线的线径、电阻率、分裂数、分裂间距、平均挂点高度、平均弧垂等</w:t>
      </w:r>
      <w:r>
        <w:rPr>
          <w:rFonts w:hint="default"/>
          <w:color w:val="000000"/>
          <w:sz w:val="21"/>
          <w:szCs w:val="21"/>
          <w:lang w:eastAsia="zh-CN"/>
        </w:rPr>
        <w:t>。</w:t>
      </w:r>
    </w:p>
    <w:p w14:paraId="7EE500BA">
      <w:pPr>
        <w:rPr>
          <w:rFonts w:hint="default"/>
          <w:highlight w:val="yellow"/>
          <w:lang w:val="en-US" w:eastAsia="zh-CN"/>
        </w:rPr>
      </w:pPr>
    </w:p>
    <w:p w14:paraId="282D680E">
      <w:pPr>
        <w:pStyle w:val="3"/>
        <w:rPr>
          <w:rFonts w:hint="default"/>
          <w:lang w:val="en-US" w:eastAsia="zh-CN"/>
        </w:rPr>
      </w:pPr>
      <w:bookmarkStart w:id="115" w:name="_Toc19938"/>
      <w:bookmarkStart w:id="116" w:name="_Toc25037"/>
      <w:bookmarkStart w:id="117" w:name="_Toc3401"/>
      <w:bookmarkStart w:id="118" w:name="_Toc28081"/>
      <w:bookmarkStart w:id="119" w:name="_Toc22838"/>
      <w:bookmarkStart w:id="120" w:name="_Toc27262"/>
      <w:bookmarkStart w:id="121" w:name="_Toc19994"/>
      <w:bookmarkStart w:id="122" w:name="_Toc13062"/>
      <w:bookmarkStart w:id="123" w:name="_Toc18076"/>
      <w:bookmarkStart w:id="124" w:name="_Toc11960"/>
      <w:bookmarkStart w:id="125" w:name="_Toc810"/>
      <w:bookmarkStart w:id="126" w:name="_Toc19065"/>
      <w:bookmarkStart w:id="127" w:name="_Toc15612"/>
      <w:bookmarkStart w:id="128" w:name="_Toc31908"/>
      <w:bookmarkStart w:id="129" w:name="_Toc23232"/>
      <w:bookmarkStart w:id="130" w:name="_Toc29202"/>
      <w:r>
        <w:rPr>
          <w:rFonts w:hint="default"/>
        </w:rPr>
        <w:t>3.</w:t>
      </w:r>
      <w:r>
        <w:rPr>
          <w:rFonts w:hint="default"/>
          <w:lang w:val="en-US" w:eastAsia="zh-CN"/>
        </w:rPr>
        <w:t>3</w:t>
      </w:r>
      <w:r>
        <w:rPr>
          <w:rFonts w:hint="default"/>
        </w:rPr>
        <w:t xml:space="preserve"> </w:t>
      </w:r>
      <w:bookmarkStart w:id="131" w:name="_Toc19511"/>
      <w:r>
        <w:rPr>
          <w:rFonts w:hint="default"/>
          <w:lang w:val="en-US" w:eastAsia="zh-CN"/>
        </w:rPr>
        <w:t>总体技术</w:t>
      </w:r>
      <w:bookmarkEnd w:id="115"/>
      <w:bookmarkEnd w:id="116"/>
      <w:r>
        <w:rPr>
          <w:rFonts w:hint="default"/>
          <w:lang w:val="en-US" w:eastAsia="zh-CN"/>
        </w:rPr>
        <w:t>要求</w:t>
      </w:r>
      <w:bookmarkEnd w:id="117"/>
      <w:bookmarkEnd w:id="118"/>
      <w:bookmarkEnd w:id="119"/>
      <w:bookmarkEnd w:id="120"/>
      <w:bookmarkEnd w:id="121"/>
      <w:bookmarkEnd w:id="122"/>
      <w:bookmarkEnd w:id="123"/>
      <w:bookmarkEnd w:id="124"/>
      <w:bookmarkEnd w:id="125"/>
      <w:bookmarkEnd w:id="126"/>
      <w:bookmarkEnd w:id="127"/>
      <w:bookmarkEnd w:id="128"/>
    </w:p>
    <w:bookmarkEnd w:id="129"/>
    <w:bookmarkEnd w:id="130"/>
    <w:bookmarkEnd w:id="131"/>
    <w:p w14:paraId="51F2C4C0">
      <w:pPr>
        <w:outlineLvl w:val="2"/>
        <w:rPr>
          <w:rFonts w:hint="default" w:ascii="Times New Roman" w:hAnsi="Times New Roman" w:eastAsia="宋体"/>
          <w:color w:val="000000"/>
          <w:lang w:val="en-US" w:eastAsia="zh-CN"/>
        </w:rPr>
      </w:pPr>
      <w:bookmarkStart w:id="132" w:name="_Toc4183"/>
      <w:bookmarkStart w:id="133" w:name="_Toc13081"/>
      <w:bookmarkStart w:id="134" w:name="_Toc31776"/>
      <w:bookmarkStart w:id="135" w:name="_Toc3937"/>
      <w:bookmarkStart w:id="136" w:name="_Toc3086"/>
      <w:bookmarkStart w:id="137" w:name="_Toc27170"/>
      <w:bookmarkStart w:id="138" w:name="_Toc26313"/>
      <w:bookmarkStart w:id="139" w:name="_Toc24380"/>
      <w:r>
        <w:rPr>
          <w:rFonts w:hint="default" w:ascii="Times New Roman" w:hAnsi="Times New Roman" w:eastAsia="宋体"/>
          <w:color w:val="000000"/>
        </w:rPr>
        <w:t>3.</w:t>
      </w:r>
      <w:r>
        <w:rPr>
          <w:rFonts w:hint="default" w:ascii="Times New Roman" w:hAnsi="Times New Roman" w:eastAsia="宋体"/>
          <w:color w:val="000000"/>
          <w:lang w:val="en-US" w:eastAsia="zh-CN"/>
        </w:rPr>
        <w:t>3.1</w:t>
      </w:r>
      <w:r>
        <w:rPr>
          <w:rFonts w:hint="default" w:ascii="Times New Roman" w:hAnsi="Times New Roman" w:eastAsia="宋体"/>
          <w:color w:val="000000"/>
        </w:rPr>
        <w:t xml:space="preserve"> </w:t>
      </w:r>
      <w:r>
        <w:rPr>
          <w:rFonts w:hint="default" w:ascii="Times New Roman" w:hAnsi="Times New Roman" w:eastAsia="宋体"/>
          <w:color w:val="000000"/>
          <w:lang w:val="en-US" w:eastAsia="zh-CN"/>
        </w:rPr>
        <w:t>性能指标</w:t>
      </w:r>
      <w:bookmarkEnd w:id="132"/>
      <w:bookmarkEnd w:id="133"/>
      <w:bookmarkEnd w:id="134"/>
      <w:bookmarkEnd w:id="135"/>
      <w:bookmarkEnd w:id="136"/>
    </w:p>
    <w:p w14:paraId="7860304F">
      <w:pPr>
        <w:rPr>
          <w:rFonts w:hint="default" w:eastAsia="宋体"/>
          <w:color w:val="000000"/>
          <w:sz w:val="21"/>
          <w:szCs w:val="21"/>
          <w:lang w:val="en-US" w:eastAsia="zh-CN"/>
        </w:rPr>
      </w:pPr>
      <w:r>
        <w:rPr>
          <w:rFonts w:hint="default"/>
          <w:color w:val="000000"/>
          <w:sz w:val="21"/>
          <w:szCs w:val="21"/>
        </w:rPr>
        <w:t>3.</w:t>
      </w:r>
      <w:r>
        <w:rPr>
          <w:rFonts w:hint="default"/>
          <w:color w:val="000000"/>
          <w:sz w:val="21"/>
          <w:szCs w:val="21"/>
          <w:lang w:val="en-US" w:eastAsia="zh-CN"/>
        </w:rPr>
        <w:t>3.1</w:t>
      </w:r>
      <w:r>
        <w:rPr>
          <w:color w:val="000000"/>
          <w:sz w:val="21"/>
          <w:szCs w:val="21"/>
        </w:rPr>
        <w:t>.</w:t>
      </w:r>
      <w:r>
        <w:rPr>
          <w:rFonts w:hint="default"/>
          <w:color w:val="000000"/>
          <w:sz w:val="21"/>
          <w:szCs w:val="21"/>
          <w:lang w:val="en-US" w:eastAsia="zh-CN"/>
        </w:rPr>
        <w:t>1</w:t>
      </w:r>
      <w:r>
        <w:rPr>
          <w:color w:val="000000"/>
          <w:sz w:val="21"/>
          <w:szCs w:val="21"/>
        </w:rPr>
        <w:t xml:space="preserve"> </w:t>
      </w:r>
      <w:r>
        <w:rPr>
          <w:rFonts w:hint="default"/>
          <w:color w:val="000000"/>
          <w:sz w:val="21"/>
          <w:szCs w:val="21"/>
          <w:lang w:val="en-US" w:eastAsia="zh-CN"/>
        </w:rPr>
        <w:t>额定值。应明确直流输电系统各种运行方式下的连续运行额定值、直流过负荷能力（如有）、直流降压运行能力（如有）、直流系统功率倒送能力（如有）</w:t>
      </w:r>
      <w:r>
        <w:rPr>
          <w:rFonts w:hint="eastAsia"/>
          <w:color w:val="000000"/>
          <w:sz w:val="21"/>
          <w:szCs w:val="21"/>
          <w:lang w:val="en-US" w:eastAsia="zh-CN"/>
        </w:rPr>
        <w:t>、融冰能力（如有）</w:t>
      </w:r>
      <w:r>
        <w:rPr>
          <w:rFonts w:hint="default"/>
          <w:color w:val="000000"/>
          <w:sz w:val="21"/>
          <w:szCs w:val="21"/>
          <w:lang w:val="en-US" w:eastAsia="zh-CN"/>
        </w:rPr>
        <w:t>等。</w:t>
      </w:r>
    </w:p>
    <w:p w14:paraId="52980CF4">
      <w:pPr>
        <w:rPr>
          <w:rFonts w:hint="default"/>
          <w:color w:val="000000"/>
          <w:sz w:val="21"/>
          <w:szCs w:val="21"/>
          <w:lang w:val="en-US" w:eastAsia="zh-CN"/>
        </w:rPr>
      </w:pPr>
      <w:r>
        <w:rPr>
          <w:rFonts w:hint="default"/>
          <w:color w:val="000000"/>
          <w:sz w:val="21"/>
          <w:szCs w:val="21"/>
        </w:rPr>
        <w:t>3.</w:t>
      </w:r>
      <w:r>
        <w:rPr>
          <w:rFonts w:hint="default"/>
          <w:color w:val="000000"/>
          <w:sz w:val="21"/>
          <w:szCs w:val="21"/>
          <w:lang w:val="en-US" w:eastAsia="zh-CN"/>
        </w:rPr>
        <w:t>3.1</w:t>
      </w:r>
      <w:r>
        <w:rPr>
          <w:color w:val="000000"/>
          <w:sz w:val="21"/>
          <w:szCs w:val="21"/>
        </w:rPr>
        <w:t>.</w:t>
      </w:r>
      <w:r>
        <w:rPr>
          <w:rFonts w:hint="default"/>
          <w:color w:val="000000"/>
          <w:sz w:val="21"/>
          <w:szCs w:val="21"/>
          <w:lang w:val="en-US" w:eastAsia="zh-CN"/>
        </w:rPr>
        <w:t>2</w:t>
      </w:r>
      <w:r>
        <w:rPr>
          <w:color w:val="000000"/>
          <w:sz w:val="21"/>
          <w:szCs w:val="21"/>
        </w:rPr>
        <w:t xml:space="preserve"> </w:t>
      </w:r>
      <w:r>
        <w:rPr>
          <w:rFonts w:hint="default"/>
          <w:color w:val="000000"/>
          <w:sz w:val="21"/>
          <w:szCs w:val="21"/>
          <w:lang w:val="en-US" w:eastAsia="zh-CN"/>
        </w:rPr>
        <w:t>运行方式。应明确直流输电系统的运行方式。</w:t>
      </w:r>
    </w:p>
    <w:p w14:paraId="7A927CB7">
      <w:pPr>
        <w:rPr>
          <w:rFonts w:hint="default"/>
          <w:color w:val="000000"/>
          <w:sz w:val="21"/>
          <w:szCs w:val="21"/>
          <w:lang w:val="en-US" w:eastAsia="zh-CN"/>
        </w:rPr>
      </w:pPr>
      <w:r>
        <w:rPr>
          <w:rFonts w:hint="default"/>
          <w:color w:val="000000"/>
          <w:sz w:val="21"/>
          <w:szCs w:val="21"/>
        </w:rPr>
        <w:t>3.</w:t>
      </w:r>
      <w:r>
        <w:rPr>
          <w:rFonts w:hint="default"/>
          <w:color w:val="000000"/>
          <w:sz w:val="21"/>
          <w:szCs w:val="21"/>
          <w:lang w:val="en-US" w:eastAsia="zh-CN"/>
        </w:rPr>
        <w:t>3.1</w:t>
      </w:r>
      <w:r>
        <w:rPr>
          <w:color w:val="000000"/>
          <w:sz w:val="21"/>
          <w:szCs w:val="21"/>
        </w:rPr>
        <w:t>.</w:t>
      </w:r>
      <w:r>
        <w:rPr>
          <w:rFonts w:hint="default"/>
          <w:color w:val="000000"/>
          <w:sz w:val="21"/>
          <w:szCs w:val="21"/>
          <w:lang w:val="en-US" w:eastAsia="zh-CN"/>
        </w:rPr>
        <w:t>3</w:t>
      </w:r>
      <w:r>
        <w:rPr>
          <w:color w:val="000000"/>
          <w:sz w:val="21"/>
          <w:szCs w:val="21"/>
        </w:rPr>
        <w:t xml:space="preserve"> </w:t>
      </w:r>
      <w:r>
        <w:rPr>
          <w:rFonts w:hint="default"/>
          <w:color w:val="000000"/>
          <w:sz w:val="21"/>
          <w:szCs w:val="21"/>
          <w:lang w:val="en-US" w:eastAsia="zh-CN"/>
        </w:rPr>
        <w:t>动态性能要求。应明确直流系统的电压、电流、有功功率、无功功率等控制器响应要求，交流系统故障后响应要求，功率转移响应要求、直流附加控制要求等。</w:t>
      </w:r>
    </w:p>
    <w:p w14:paraId="7C7DE9C7">
      <w:pPr>
        <w:rPr>
          <w:rFonts w:hint="default" w:eastAsia="宋体"/>
          <w:color w:val="000000"/>
          <w:sz w:val="21"/>
          <w:szCs w:val="21"/>
          <w:lang w:val="en-US" w:eastAsia="zh-CN"/>
        </w:rPr>
      </w:pPr>
      <w:r>
        <w:rPr>
          <w:rFonts w:hint="default"/>
          <w:color w:val="000000"/>
          <w:sz w:val="21"/>
          <w:szCs w:val="21"/>
        </w:rPr>
        <w:t>3.</w:t>
      </w:r>
      <w:r>
        <w:rPr>
          <w:rFonts w:hint="default"/>
          <w:color w:val="000000"/>
          <w:sz w:val="21"/>
          <w:szCs w:val="21"/>
          <w:lang w:val="en-US" w:eastAsia="zh-CN"/>
        </w:rPr>
        <w:t>3.1</w:t>
      </w:r>
      <w:r>
        <w:rPr>
          <w:rFonts w:hint="default"/>
          <w:color w:val="000000"/>
          <w:sz w:val="21"/>
          <w:szCs w:val="21"/>
        </w:rPr>
        <w:t>.</w:t>
      </w:r>
      <w:r>
        <w:rPr>
          <w:rFonts w:hint="default"/>
          <w:color w:val="000000"/>
          <w:sz w:val="21"/>
          <w:szCs w:val="21"/>
          <w:lang w:val="en-US" w:eastAsia="zh-CN"/>
        </w:rPr>
        <w:t>4</w:t>
      </w:r>
      <w:r>
        <w:rPr>
          <w:rFonts w:hint="default"/>
          <w:color w:val="000000"/>
          <w:sz w:val="21"/>
          <w:szCs w:val="21"/>
        </w:rPr>
        <w:t xml:space="preserve"> 无功补偿和电压控制</w:t>
      </w:r>
      <w:r>
        <w:rPr>
          <w:rFonts w:hint="default"/>
          <w:color w:val="000000"/>
          <w:sz w:val="21"/>
          <w:szCs w:val="21"/>
          <w:lang w:eastAsia="zh-CN"/>
        </w:rPr>
        <w:t>。</w:t>
      </w:r>
      <w:r>
        <w:rPr>
          <w:rFonts w:hint="default"/>
          <w:color w:val="000000"/>
          <w:sz w:val="21"/>
          <w:szCs w:val="21"/>
          <w:lang w:val="en-US" w:eastAsia="zh-CN"/>
        </w:rPr>
        <w:t>应明确换流站与交流系统的交换无功需求、无功补偿设备配置。</w:t>
      </w:r>
    </w:p>
    <w:p w14:paraId="2B71A764">
      <w:pPr>
        <w:rPr>
          <w:rFonts w:hint="default" w:eastAsia="宋体"/>
          <w:color w:val="000000"/>
          <w:sz w:val="21"/>
          <w:szCs w:val="21"/>
          <w:lang w:val="en-US" w:eastAsia="zh-CN"/>
        </w:rPr>
      </w:pPr>
      <w:r>
        <w:rPr>
          <w:rFonts w:hint="default"/>
          <w:color w:val="000000"/>
          <w:sz w:val="21"/>
          <w:szCs w:val="21"/>
        </w:rPr>
        <w:t>3.</w:t>
      </w:r>
      <w:r>
        <w:rPr>
          <w:rFonts w:hint="default"/>
          <w:color w:val="000000"/>
          <w:sz w:val="21"/>
          <w:szCs w:val="21"/>
          <w:lang w:val="en-US" w:eastAsia="zh-CN"/>
        </w:rPr>
        <w:t>3.1</w:t>
      </w:r>
      <w:r>
        <w:rPr>
          <w:color w:val="000000"/>
          <w:sz w:val="21"/>
          <w:szCs w:val="21"/>
        </w:rPr>
        <w:t>.</w:t>
      </w:r>
      <w:r>
        <w:rPr>
          <w:rFonts w:hint="default"/>
          <w:color w:val="000000"/>
          <w:sz w:val="21"/>
          <w:szCs w:val="21"/>
          <w:lang w:val="en-US" w:eastAsia="zh-CN"/>
        </w:rPr>
        <w:t>5</w:t>
      </w:r>
      <w:r>
        <w:rPr>
          <w:color w:val="000000"/>
          <w:sz w:val="21"/>
          <w:szCs w:val="21"/>
        </w:rPr>
        <w:t xml:space="preserve"> </w:t>
      </w:r>
      <w:r>
        <w:rPr>
          <w:rFonts w:hint="default"/>
          <w:color w:val="000000"/>
          <w:sz w:val="21"/>
          <w:szCs w:val="21"/>
        </w:rPr>
        <w:t>直流偏磁电流</w:t>
      </w:r>
      <w:r>
        <w:rPr>
          <w:rFonts w:hint="default"/>
          <w:color w:val="000000"/>
          <w:sz w:val="21"/>
          <w:szCs w:val="21"/>
          <w:lang w:eastAsia="zh-CN"/>
        </w:rPr>
        <w:t>。</w:t>
      </w:r>
      <w:r>
        <w:rPr>
          <w:rFonts w:hint="default"/>
          <w:color w:val="000000"/>
          <w:sz w:val="21"/>
          <w:szCs w:val="21"/>
          <w:lang w:val="en-US" w:eastAsia="zh-CN"/>
        </w:rPr>
        <w:t>应明确</w:t>
      </w:r>
      <w:r>
        <w:rPr>
          <w:rFonts w:hint="default"/>
          <w:color w:val="000000"/>
          <w:sz w:val="21"/>
          <w:szCs w:val="21"/>
          <w:lang w:eastAsia="zh-CN"/>
        </w:rPr>
        <w:t>柔直变</w:t>
      </w:r>
      <w:r>
        <w:rPr>
          <w:rFonts w:hint="default"/>
          <w:color w:val="000000"/>
          <w:sz w:val="21"/>
          <w:szCs w:val="21"/>
          <w:lang w:val="en-US" w:eastAsia="zh-CN"/>
        </w:rPr>
        <w:t>压器/换流变压器实际</w:t>
      </w:r>
      <w:r>
        <w:rPr>
          <w:rFonts w:hint="default"/>
          <w:color w:val="000000"/>
          <w:sz w:val="21"/>
          <w:szCs w:val="21"/>
          <w:lang w:eastAsia="zh-CN"/>
        </w:rPr>
        <w:t>承受</w:t>
      </w:r>
      <w:r>
        <w:rPr>
          <w:rFonts w:hint="default"/>
          <w:color w:val="000000"/>
          <w:sz w:val="21"/>
          <w:szCs w:val="21"/>
          <w:lang w:val="en-US" w:eastAsia="zh-CN"/>
        </w:rPr>
        <w:t>的</w:t>
      </w:r>
      <w:r>
        <w:rPr>
          <w:rFonts w:hint="default"/>
          <w:color w:val="000000"/>
          <w:sz w:val="21"/>
          <w:szCs w:val="21"/>
          <w:lang w:eastAsia="zh-CN"/>
        </w:rPr>
        <w:t>最大直流偏磁电流</w:t>
      </w:r>
      <w:r>
        <w:rPr>
          <w:rFonts w:hint="default"/>
          <w:color w:val="000000"/>
          <w:sz w:val="21"/>
          <w:szCs w:val="21"/>
          <w:lang w:val="en-US" w:eastAsia="zh-CN"/>
        </w:rPr>
        <w:t>值，评估直流偏磁电流对变压器的影响以及是否需要配置隔直装置。</w:t>
      </w:r>
    </w:p>
    <w:p w14:paraId="518914BA">
      <w:pPr>
        <w:rPr>
          <w:rFonts w:hint="default"/>
          <w:color w:val="000000"/>
          <w:sz w:val="21"/>
          <w:szCs w:val="21"/>
          <w:lang w:val="en-US" w:eastAsia="zh-CN"/>
        </w:rPr>
      </w:pPr>
      <w:r>
        <w:rPr>
          <w:rFonts w:hint="default"/>
          <w:color w:val="000000"/>
          <w:sz w:val="21"/>
          <w:szCs w:val="21"/>
        </w:rPr>
        <w:t>3.</w:t>
      </w:r>
      <w:r>
        <w:rPr>
          <w:rFonts w:hint="default"/>
          <w:color w:val="000000"/>
          <w:sz w:val="21"/>
          <w:szCs w:val="21"/>
          <w:lang w:val="en-US" w:eastAsia="zh-CN"/>
        </w:rPr>
        <w:t>3.1</w:t>
      </w:r>
      <w:r>
        <w:rPr>
          <w:color w:val="000000"/>
          <w:sz w:val="21"/>
          <w:szCs w:val="21"/>
        </w:rPr>
        <w:t>.</w:t>
      </w:r>
      <w:r>
        <w:rPr>
          <w:rFonts w:hint="default"/>
          <w:color w:val="000000"/>
          <w:sz w:val="21"/>
          <w:szCs w:val="21"/>
          <w:lang w:val="en-US" w:eastAsia="zh-CN"/>
        </w:rPr>
        <w:t>6 谐波控制要求。应明确工程额定运行状态下换流站PCC点处交流谐波指标要求、直流极线谐波指标要求。</w:t>
      </w:r>
    </w:p>
    <w:p w14:paraId="24B291CD">
      <w:pPr>
        <w:rPr>
          <w:rFonts w:hint="default"/>
          <w:color w:val="000000"/>
          <w:sz w:val="21"/>
          <w:szCs w:val="21"/>
          <w:lang w:val="en-US" w:eastAsia="zh-CN"/>
        </w:rPr>
      </w:pPr>
      <w:r>
        <w:rPr>
          <w:rFonts w:hint="default"/>
          <w:color w:val="000000"/>
          <w:sz w:val="21"/>
          <w:szCs w:val="21"/>
        </w:rPr>
        <w:t>3.</w:t>
      </w:r>
      <w:r>
        <w:rPr>
          <w:rFonts w:hint="default"/>
          <w:color w:val="000000"/>
          <w:sz w:val="21"/>
          <w:szCs w:val="21"/>
          <w:lang w:val="en-US" w:eastAsia="zh-CN"/>
        </w:rPr>
        <w:t>3.1</w:t>
      </w:r>
      <w:r>
        <w:rPr>
          <w:color w:val="000000"/>
          <w:sz w:val="21"/>
          <w:szCs w:val="21"/>
        </w:rPr>
        <w:t>.</w:t>
      </w:r>
      <w:r>
        <w:rPr>
          <w:rFonts w:hint="default"/>
          <w:color w:val="000000"/>
          <w:sz w:val="21"/>
          <w:szCs w:val="21"/>
          <w:lang w:val="en-US" w:eastAsia="zh-CN"/>
        </w:rPr>
        <w:t>7</w:t>
      </w:r>
      <w:r>
        <w:rPr>
          <w:color w:val="000000"/>
          <w:sz w:val="21"/>
          <w:szCs w:val="21"/>
        </w:rPr>
        <w:t xml:space="preserve"> </w:t>
      </w:r>
      <w:r>
        <w:rPr>
          <w:rFonts w:hint="default"/>
          <w:color w:val="000000"/>
          <w:sz w:val="21"/>
          <w:szCs w:val="21"/>
          <w:lang w:val="en-US" w:eastAsia="zh-CN"/>
        </w:rPr>
        <w:t>通信系统干扰。应明确由换流站引起的无线电干扰、电视干扰、对电力载波通信和通信明线的干扰、对通信和控制系统的干扰等限值。</w:t>
      </w:r>
    </w:p>
    <w:p w14:paraId="1C5A67FF">
      <w:pPr>
        <w:rPr>
          <w:rFonts w:hint="default"/>
          <w:color w:val="000000"/>
          <w:sz w:val="21"/>
          <w:szCs w:val="21"/>
          <w:lang w:val="en-US" w:eastAsia="zh-CN"/>
        </w:rPr>
      </w:pPr>
      <w:r>
        <w:rPr>
          <w:rFonts w:hint="default"/>
          <w:color w:val="000000"/>
          <w:sz w:val="21"/>
          <w:szCs w:val="21"/>
        </w:rPr>
        <w:t>3.</w:t>
      </w:r>
      <w:r>
        <w:rPr>
          <w:rFonts w:hint="default"/>
          <w:color w:val="000000"/>
          <w:sz w:val="21"/>
          <w:szCs w:val="21"/>
          <w:lang w:val="en-US" w:eastAsia="zh-CN"/>
        </w:rPr>
        <w:t>3.1</w:t>
      </w:r>
      <w:r>
        <w:rPr>
          <w:color w:val="000000"/>
          <w:sz w:val="21"/>
          <w:szCs w:val="21"/>
        </w:rPr>
        <w:t>.</w:t>
      </w:r>
      <w:r>
        <w:rPr>
          <w:rFonts w:hint="default"/>
          <w:color w:val="000000"/>
          <w:sz w:val="21"/>
          <w:szCs w:val="21"/>
          <w:lang w:val="en-US" w:eastAsia="zh-CN"/>
        </w:rPr>
        <w:t>8 可听噪声。应明确周围敏感点噪声、站界噪声、站内噪声的控制目标。</w:t>
      </w:r>
    </w:p>
    <w:p w14:paraId="2A532F63">
      <w:pPr>
        <w:rPr>
          <w:rFonts w:hint="default"/>
          <w:color w:val="000000"/>
          <w:sz w:val="21"/>
          <w:szCs w:val="21"/>
          <w:lang w:val="en-US" w:eastAsia="zh-CN"/>
        </w:rPr>
      </w:pPr>
      <w:r>
        <w:rPr>
          <w:rFonts w:hint="default"/>
          <w:color w:val="000000"/>
          <w:sz w:val="21"/>
          <w:szCs w:val="21"/>
        </w:rPr>
        <w:t>3.</w:t>
      </w:r>
      <w:r>
        <w:rPr>
          <w:rFonts w:hint="default"/>
          <w:color w:val="000000"/>
          <w:sz w:val="21"/>
          <w:szCs w:val="21"/>
          <w:lang w:val="en-US" w:eastAsia="zh-CN"/>
        </w:rPr>
        <w:t>3.1</w:t>
      </w:r>
      <w:r>
        <w:rPr>
          <w:color w:val="000000"/>
          <w:sz w:val="21"/>
          <w:szCs w:val="21"/>
        </w:rPr>
        <w:t>.</w:t>
      </w:r>
      <w:r>
        <w:rPr>
          <w:rFonts w:hint="default"/>
          <w:color w:val="000000"/>
          <w:sz w:val="21"/>
          <w:szCs w:val="21"/>
          <w:lang w:val="en-US" w:eastAsia="zh-CN"/>
        </w:rPr>
        <w:t>9 设计损耗。应明确额定功率运行下换流站的损耗设计指标。</w:t>
      </w:r>
    </w:p>
    <w:p w14:paraId="5C1F0DC0">
      <w:pPr>
        <w:rPr>
          <w:rFonts w:hint="default"/>
          <w:color w:val="000000"/>
          <w:sz w:val="21"/>
          <w:szCs w:val="21"/>
          <w:lang w:val="en-US" w:eastAsia="zh-CN"/>
        </w:rPr>
      </w:pPr>
      <w:r>
        <w:rPr>
          <w:rFonts w:hint="default"/>
          <w:color w:val="000000"/>
          <w:sz w:val="21"/>
          <w:szCs w:val="21"/>
        </w:rPr>
        <w:t>3.</w:t>
      </w:r>
      <w:r>
        <w:rPr>
          <w:rFonts w:hint="default"/>
          <w:color w:val="000000"/>
          <w:sz w:val="21"/>
          <w:szCs w:val="21"/>
          <w:lang w:val="en-US" w:eastAsia="zh-CN"/>
        </w:rPr>
        <w:t>3.1</w:t>
      </w:r>
      <w:r>
        <w:rPr>
          <w:color w:val="000000"/>
          <w:sz w:val="21"/>
          <w:szCs w:val="21"/>
        </w:rPr>
        <w:t>.</w:t>
      </w:r>
      <w:r>
        <w:rPr>
          <w:rFonts w:hint="default"/>
          <w:color w:val="000000"/>
          <w:sz w:val="21"/>
          <w:szCs w:val="21"/>
          <w:lang w:val="en-US" w:eastAsia="zh-CN"/>
        </w:rPr>
        <w:t>10 可靠性与可用率。应明确工程主要运行方式下的强迫能量不可用率、计划能量不可用率、强迫停运次数等可靠性与可用率设计指标。</w:t>
      </w:r>
    </w:p>
    <w:p w14:paraId="37C01FF7">
      <w:pPr>
        <w:outlineLvl w:val="2"/>
        <w:rPr>
          <w:rFonts w:hint="default" w:ascii="Times New Roman" w:hAnsi="Times New Roman" w:eastAsia="宋体"/>
          <w:color w:val="000000"/>
          <w:lang w:val="en-US" w:eastAsia="zh-CN"/>
        </w:rPr>
      </w:pPr>
      <w:bookmarkStart w:id="140" w:name="_Toc10433"/>
      <w:bookmarkStart w:id="141" w:name="_Toc9882"/>
      <w:bookmarkStart w:id="142" w:name="_Toc20737"/>
      <w:bookmarkStart w:id="143" w:name="_Toc13911"/>
      <w:bookmarkStart w:id="144" w:name="_Toc22548"/>
      <w:r>
        <w:rPr>
          <w:rFonts w:hint="default" w:ascii="Times New Roman" w:hAnsi="Times New Roman" w:eastAsia="宋体"/>
          <w:color w:val="000000"/>
          <w:lang w:val="en-US" w:eastAsia="zh-CN"/>
        </w:rPr>
        <w:t>3.3.2 主接线与主回路参数</w:t>
      </w:r>
      <w:bookmarkEnd w:id="140"/>
      <w:bookmarkEnd w:id="141"/>
      <w:bookmarkEnd w:id="142"/>
      <w:bookmarkEnd w:id="143"/>
      <w:bookmarkEnd w:id="144"/>
    </w:p>
    <w:p w14:paraId="7129DABD">
      <w:pPr>
        <w:rPr>
          <w:rFonts w:hint="default"/>
          <w:color w:val="000000"/>
          <w:sz w:val="21"/>
          <w:szCs w:val="21"/>
          <w:lang w:val="en-US" w:eastAsia="zh-CN"/>
        </w:rPr>
      </w:pPr>
      <w:r>
        <w:rPr>
          <w:rFonts w:hint="default"/>
          <w:color w:val="000000"/>
          <w:sz w:val="21"/>
          <w:szCs w:val="21"/>
        </w:rPr>
        <w:t>3.</w:t>
      </w:r>
      <w:r>
        <w:rPr>
          <w:rFonts w:hint="default"/>
          <w:color w:val="000000"/>
          <w:sz w:val="21"/>
          <w:szCs w:val="21"/>
          <w:lang w:val="en-US" w:eastAsia="zh-CN"/>
        </w:rPr>
        <w:t>3.2</w:t>
      </w:r>
      <w:r>
        <w:rPr>
          <w:color w:val="000000"/>
          <w:sz w:val="21"/>
          <w:szCs w:val="21"/>
        </w:rPr>
        <w:t>.</w:t>
      </w:r>
      <w:r>
        <w:rPr>
          <w:rFonts w:hint="default"/>
          <w:color w:val="000000"/>
          <w:sz w:val="21"/>
          <w:szCs w:val="21"/>
          <w:lang w:val="en-US" w:eastAsia="zh-CN"/>
        </w:rPr>
        <w:t>1 应明确换流站的直流部分接线，包括换流器接线、变压器接线、直流场接线、启动回路接线</w:t>
      </w:r>
      <w:r>
        <w:rPr>
          <w:rFonts w:hint="eastAsia"/>
          <w:color w:val="000000"/>
          <w:sz w:val="21"/>
          <w:szCs w:val="21"/>
          <w:lang w:val="en-US" w:eastAsia="zh-CN"/>
        </w:rPr>
        <w:t>（如有）、滤波器、阻抗适配器/幅相校正器，</w:t>
      </w:r>
      <w:r>
        <w:rPr>
          <w:rFonts w:hint="default"/>
          <w:color w:val="000000"/>
          <w:sz w:val="21"/>
          <w:szCs w:val="21"/>
          <w:lang w:val="en-US" w:eastAsia="zh-CN"/>
        </w:rPr>
        <w:t>以及上述范围的主要电压</w:t>
      </w:r>
      <w:r>
        <w:rPr>
          <w:rFonts w:hint="eastAsia"/>
          <w:color w:val="000000"/>
          <w:sz w:val="21"/>
          <w:szCs w:val="21"/>
          <w:lang w:val="en-US" w:eastAsia="zh-CN"/>
        </w:rPr>
        <w:t>、</w:t>
      </w:r>
      <w:r>
        <w:rPr>
          <w:rFonts w:hint="default"/>
          <w:color w:val="000000"/>
          <w:sz w:val="21"/>
          <w:szCs w:val="21"/>
          <w:lang w:val="en-US" w:eastAsia="zh-CN"/>
        </w:rPr>
        <w:t>电流测点配置。</w:t>
      </w:r>
    </w:p>
    <w:p w14:paraId="1D75F7EB">
      <w:pPr>
        <w:rPr>
          <w:rFonts w:hint="default"/>
          <w:color w:val="000000"/>
          <w:sz w:val="21"/>
          <w:szCs w:val="21"/>
          <w:lang w:val="en-US" w:eastAsia="zh-CN"/>
        </w:rPr>
      </w:pPr>
      <w:r>
        <w:rPr>
          <w:rFonts w:hint="default"/>
          <w:color w:val="000000"/>
          <w:sz w:val="21"/>
          <w:szCs w:val="21"/>
        </w:rPr>
        <w:t>3.</w:t>
      </w:r>
      <w:r>
        <w:rPr>
          <w:rFonts w:hint="default"/>
          <w:color w:val="000000"/>
          <w:sz w:val="21"/>
          <w:szCs w:val="21"/>
          <w:lang w:val="en-US" w:eastAsia="zh-CN"/>
        </w:rPr>
        <w:t>3.2</w:t>
      </w:r>
      <w:r>
        <w:rPr>
          <w:color w:val="000000"/>
          <w:sz w:val="21"/>
          <w:szCs w:val="21"/>
        </w:rPr>
        <w:t>.</w:t>
      </w:r>
      <w:r>
        <w:rPr>
          <w:rFonts w:hint="default"/>
          <w:color w:val="000000"/>
          <w:sz w:val="21"/>
          <w:szCs w:val="21"/>
          <w:lang w:val="en-US" w:eastAsia="zh-CN"/>
        </w:rPr>
        <w:t>2 应分别明确送、受端换流站的以下主回路参数：</w:t>
      </w:r>
    </w:p>
    <w:p w14:paraId="0F7CF957">
      <w:pPr>
        <w:ind w:firstLine="420"/>
        <w:rPr>
          <w:rFonts w:hint="default" w:ascii="Times New Roman" w:hAnsi="Times New Roman" w:eastAsia="宋体"/>
          <w:sz w:val="21"/>
          <w:szCs w:val="21"/>
          <w:lang w:val="en-US" w:eastAsia="zh-CN"/>
        </w:rPr>
      </w:pPr>
      <w:r>
        <w:rPr>
          <w:rFonts w:hint="default" w:ascii="Times New Roman" w:hAnsi="Times New Roman" w:eastAsia="宋体"/>
          <w:sz w:val="21"/>
          <w:szCs w:val="21"/>
          <w:lang w:val="en-US" w:eastAsia="zh-CN"/>
        </w:rPr>
        <w:t>1 直流额定值。应包括：额定直流电流、额定直流电压、直流降压运行电压（如有）、直流模式无功支撑能力；</w:t>
      </w:r>
    </w:p>
    <w:p w14:paraId="6821CB56">
      <w:pPr>
        <w:ind w:firstLine="420"/>
        <w:rPr>
          <w:rFonts w:hint="default" w:ascii="Times New Roman" w:hAnsi="Times New Roman" w:eastAsia="宋体"/>
          <w:sz w:val="21"/>
          <w:szCs w:val="21"/>
          <w:lang w:val="en-US" w:eastAsia="zh-CN"/>
        </w:rPr>
      </w:pPr>
      <w:r>
        <w:rPr>
          <w:rFonts w:hint="default" w:ascii="Times New Roman" w:hAnsi="Times New Roman" w:eastAsia="宋体"/>
          <w:sz w:val="21"/>
          <w:szCs w:val="21"/>
          <w:lang w:val="en-US" w:eastAsia="zh-CN"/>
        </w:rPr>
        <w:t>2 柔直变压器/换流变压器参数。应包括柔直变压器/换流变压器的容量、</w:t>
      </w:r>
      <w:r>
        <w:rPr>
          <w:rFonts w:hint="eastAsia"/>
          <w:sz w:val="21"/>
          <w:szCs w:val="21"/>
          <w:lang w:val="en-US" w:eastAsia="zh-CN"/>
        </w:rPr>
        <w:t>型式、</w:t>
      </w:r>
      <w:r>
        <w:rPr>
          <w:rFonts w:hint="default" w:ascii="Times New Roman" w:hAnsi="Times New Roman" w:eastAsia="宋体"/>
          <w:sz w:val="21"/>
          <w:szCs w:val="21"/>
          <w:lang w:val="en-US" w:eastAsia="zh-CN"/>
        </w:rPr>
        <w:t>短路阻抗、网侧绕组额定（线）电压、阀侧绕组额定（线）电压、分接开关级数及级差</w:t>
      </w:r>
      <w:r>
        <w:rPr>
          <w:rFonts w:hint="eastAsia"/>
          <w:sz w:val="21"/>
          <w:szCs w:val="21"/>
          <w:lang w:val="en-US" w:eastAsia="zh-CN"/>
        </w:rPr>
        <w:t>（如有）</w:t>
      </w:r>
      <w:r>
        <w:rPr>
          <w:rFonts w:hint="default" w:ascii="Times New Roman" w:hAnsi="Times New Roman" w:eastAsia="宋体"/>
          <w:sz w:val="21"/>
          <w:szCs w:val="21"/>
          <w:lang w:val="en-US" w:eastAsia="zh-CN"/>
        </w:rPr>
        <w:t>；</w:t>
      </w:r>
    </w:p>
    <w:p w14:paraId="3CFD8555">
      <w:pPr>
        <w:pStyle w:val="5"/>
        <w:rPr>
          <w:rFonts w:hint="default" w:ascii="Times New Roman" w:hAnsi="Times New Roman" w:eastAsia="宋体"/>
          <w:sz w:val="21"/>
          <w:szCs w:val="21"/>
          <w:lang w:val="en-US" w:eastAsia="zh-CN"/>
        </w:rPr>
      </w:pPr>
      <w:r>
        <w:rPr>
          <w:rFonts w:hint="default" w:ascii="Times New Roman" w:hAnsi="Times New Roman" w:eastAsia="宋体"/>
          <w:sz w:val="21"/>
          <w:szCs w:val="21"/>
          <w:lang w:val="en-US" w:eastAsia="zh-CN"/>
        </w:rPr>
        <w:t>3 换流阀参数。应包括换流阀的拓扑结构、模块数量、核心元件的额定参数；</w:t>
      </w:r>
    </w:p>
    <w:p w14:paraId="7251D03F">
      <w:pPr>
        <w:ind w:firstLine="420"/>
        <w:rPr>
          <w:rFonts w:hint="default" w:ascii="Times New Roman" w:hAnsi="Times New Roman" w:eastAsia="宋体"/>
          <w:sz w:val="21"/>
          <w:szCs w:val="21"/>
          <w:lang w:val="en-US" w:eastAsia="zh-CN"/>
        </w:rPr>
      </w:pPr>
      <w:r>
        <w:rPr>
          <w:rFonts w:hint="default" w:ascii="Times New Roman" w:hAnsi="Times New Roman" w:eastAsia="宋体"/>
          <w:sz w:val="21"/>
          <w:szCs w:val="21"/>
          <w:lang w:val="en-US" w:eastAsia="zh-CN"/>
        </w:rPr>
        <w:t>4 桥臂电抗器参数（如有）。应包括桥臂电抗器的电感量</w:t>
      </w:r>
      <w:r>
        <w:rPr>
          <w:rFonts w:hint="eastAsia"/>
          <w:sz w:val="21"/>
          <w:szCs w:val="21"/>
          <w:lang w:val="en-US" w:eastAsia="zh-CN"/>
        </w:rPr>
        <w:t>、额定电压、电流等</w:t>
      </w:r>
      <w:r>
        <w:rPr>
          <w:rFonts w:hint="default" w:ascii="Times New Roman" w:hAnsi="Times New Roman" w:eastAsia="宋体"/>
          <w:sz w:val="21"/>
          <w:szCs w:val="21"/>
          <w:lang w:val="en-US" w:eastAsia="zh-CN"/>
        </w:rPr>
        <w:t>；</w:t>
      </w:r>
    </w:p>
    <w:p w14:paraId="29EBC2D5">
      <w:pPr>
        <w:ind w:firstLine="420"/>
        <w:rPr>
          <w:rFonts w:hint="default" w:ascii="Times New Roman" w:hAnsi="Times New Roman" w:eastAsia="宋体"/>
          <w:sz w:val="21"/>
          <w:szCs w:val="21"/>
          <w:lang w:val="en-US" w:eastAsia="zh-CN"/>
        </w:rPr>
      </w:pPr>
      <w:r>
        <w:rPr>
          <w:rFonts w:hint="default" w:ascii="Times New Roman" w:hAnsi="Times New Roman" w:eastAsia="宋体"/>
          <w:sz w:val="21"/>
          <w:szCs w:val="21"/>
          <w:lang w:val="en-US" w:eastAsia="zh-CN"/>
        </w:rPr>
        <w:t xml:space="preserve">5 </w:t>
      </w:r>
      <w:r>
        <w:rPr>
          <w:rFonts w:hint="eastAsia"/>
          <w:sz w:val="21"/>
          <w:szCs w:val="21"/>
          <w:lang w:val="en-US" w:eastAsia="zh-CN"/>
        </w:rPr>
        <w:t>平波/</w:t>
      </w:r>
      <w:r>
        <w:rPr>
          <w:rFonts w:hint="default" w:ascii="Times New Roman" w:hAnsi="Times New Roman" w:eastAsia="宋体"/>
          <w:sz w:val="21"/>
          <w:szCs w:val="21"/>
          <w:lang w:val="en-US" w:eastAsia="zh-CN"/>
        </w:rPr>
        <w:t>直流电抗器参数（如有）。应包括</w:t>
      </w:r>
      <w:r>
        <w:rPr>
          <w:rFonts w:hint="eastAsia"/>
          <w:sz w:val="21"/>
          <w:szCs w:val="21"/>
          <w:lang w:val="en-US" w:eastAsia="zh-CN"/>
        </w:rPr>
        <w:t>平波/</w:t>
      </w:r>
      <w:r>
        <w:rPr>
          <w:rFonts w:hint="default" w:ascii="Times New Roman" w:hAnsi="Times New Roman" w:eastAsia="宋体"/>
          <w:sz w:val="21"/>
          <w:szCs w:val="21"/>
          <w:lang w:val="en-US" w:eastAsia="zh-CN"/>
        </w:rPr>
        <w:t>直流电抗器的电感量</w:t>
      </w:r>
      <w:r>
        <w:rPr>
          <w:rFonts w:hint="eastAsia"/>
          <w:sz w:val="21"/>
          <w:szCs w:val="21"/>
          <w:lang w:val="en-US" w:eastAsia="zh-CN"/>
        </w:rPr>
        <w:t>、额定电压、电流等</w:t>
      </w:r>
      <w:r>
        <w:rPr>
          <w:rFonts w:hint="default" w:ascii="Times New Roman" w:hAnsi="Times New Roman" w:eastAsia="宋体"/>
          <w:sz w:val="21"/>
          <w:szCs w:val="21"/>
          <w:lang w:val="en-US" w:eastAsia="zh-CN"/>
        </w:rPr>
        <w:t>；</w:t>
      </w:r>
    </w:p>
    <w:p w14:paraId="4E854609">
      <w:pPr>
        <w:ind w:firstLine="420"/>
        <w:rPr>
          <w:rFonts w:hint="default" w:ascii="Times New Roman" w:hAnsi="Times New Roman" w:eastAsia="宋体"/>
          <w:sz w:val="21"/>
          <w:szCs w:val="21"/>
          <w:lang w:val="en-US" w:eastAsia="zh-CN"/>
        </w:rPr>
      </w:pPr>
      <w:r>
        <w:rPr>
          <w:rFonts w:hint="default" w:ascii="Times New Roman" w:hAnsi="Times New Roman" w:eastAsia="宋体"/>
          <w:sz w:val="21"/>
          <w:szCs w:val="21"/>
          <w:lang w:val="en-US" w:eastAsia="zh-CN"/>
        </w:rPr>
        <w:t>6 启动电阻参数（如有）。应包括启动电阻的阻值、吸收能量、尾波电流。</w:t>
      </w:r>
    </w:p>
    <w:p w14:paraId="0F2D3AE2">
      <w:pPr>
        <w:outlineLvl w:val="2"/>
        <w:rPr>
          <w:rFonts w:hint="default" w:ascii="Times New Roman" w:hAnsi="Times New Roman" w:eastAsia="宋体"/>
          <w:color w:val="000000"/>
          <w:lang w:val="en-US" w:eastAsia="zh-CN"/>
        </w:rPr>
      </w:pPr>
      <w:bookmarkStart w:id="145" w:name="_Toc8518"/>
      <w:bookmarkStart w:id="146" w:name="_Toc29882"/>
      <w:bookmarkStart w:id="147" w:name="_Toc29399"/>
      <w:bookmarkStart w:id="148" w:name="_Toc15056"/>
      <w:bookmarkStart w:id="149" w:name="_Toc29374"/>
      <w:r>
        <w:rPr>
          <w:rFonts w:hint="default" w:ascii="Times New Roman" w:hAnsi="Times New Roman" w:eastAsia="宋体"/>
          <w:color w:val="000000"/>
          <w:lang w:val="en-US" w:eastAsia="zh-CN"/>
        </w:rPr>
        <w:t>3.3.3 过电压与绝缘配合</w:t>
      </w:r>
      <w:bookmarkEnd w:id="145"/>
      <w:bookmarkEnd w:id="146"/>
      <w:bookmarkEnd w:id="147"/>
      <w:bookmarkEnd w:id="148"/>
      <w:bookmarkEnd w:id="149"/>
    </w:p>
    <w:p w14:paraId="3DF32D6A">
      <w:pPr>
        <w:rPr>
          <w:rFonts w:hint="default" w:eastAsia="宋体"/>
          <w:lang w:val="en-US" w:eastAsia="zh-CN"/>
        </w:rPr>
      </w:pPr>
      <w:r>
        <w:rPr>
          <w:rFonts w:hint="default"/>
          <w:color w:val="000000"/>
          <w:sz w:val="21"/>
          <w:szCs w:val="21"/>
        </w:rPr>
        <w:t>3.</w:t>
      </w:r>
      <w:r>
        <w:rPr>
          <w:rFonts w:hint="default"/>
          <w:color w:val="000000"/>
          <w:sz w:val="21"/>
          <w:szCs w:val="21"/>
          <w:lang w:val="en-US" w:eastAsia="zh-CN"/>
        </w:rPr>
        <w:t>3.3</w:t>
      </w:r>
      <w:r>
        <w:rPr>
          <w:color w:val="000000"/>
          <w:sz w:val="21"/>
          <w:szCs w:val="21"/>
        </w:rPr>
        <w:t>.</w:t>
      </w:r>
      <w:r>
        <w:rPr>
          <w:rFonts w:hint="default"/>
          <w:color w:val="000000"/>
          <w:sz w:val="21"/>
          <w:szCs w:val="21"/>
          <w:lang w:val="en-US" w:eastAsia="zh-CN"/>
        </w:rPr>
        <w:t>1</w:t>
      </w:r>
      <w:r>
        <w:rPr>
          <w:color w:val="000000"/>
          <w:sz w:val="21"/>
          <w:szCs w:val="21"/>
        </w:rPr>
        <w:t xml:space="preserve"> 换流站交流系统过电压</w:t>
      </w:r>
      <w:r>
        <w:rPr>
          <w:rFonts w:hint="default"/>
          <w:color w:val="000000"/>
          <w:sz w:val="21"/>
          <w:szCs w:val="21"/>
          <w:lang w:val="en-US" w:eastAsia="zh-CN"/>
        </w:rPr>
        <w:t>。应明确</w:t>
      </w:r>
      <w:r>
        <w:rPr>
          <w:color w:val="000000"/>
          <w:sz w:val="21"/>
          <w:szCs w:val="21"/>
        </w:rPr>
        <w:t>换流站交流系统过电压</w:t>
      </w:r>
      <w:r>
        <w:rPr>
          <w:rFonts w:hint="default"/>
          <w:color w:val="000000"/>
          <w:sz w:val="21"/>
          <w:szCs w:val="21"/>
          <w:lang w:val="en-US" w:eastAsia="zh-CN"/>
        </w:rPr>
        <w:t>的</w:t>
      </w:r>
      <w:r>
        <w:rPr>
          <w:rFonts w:hint="eastAsia"/>
          <w:color w:val="000000"/>
          <w:sz w:val="21"/>
          <w:szCs w:val="21"/>
          <w:lang w:val="en-US" w:eastAsia="zh-CN"/>
        </w:rPr>
        <w:t>最大</w:t>
      </w:r>
      <w:r>
        <w:rPr>
          <w:rFonts w:hint="default"/>
          <w:color w:val="000000"/>
          <w:sz w:val="21"/>
          <w:szCs w:val="21"/>
          <w:lang w:val="en-US" w:eastAsia="zh-CN"/>
        </w:rPr>
        <w:t>值、影响因素、计算条件和工况。</w:t>
      </w:r>
    </w:p>
    <w:p w14:paraId="6FB56BFA">
      <w:pPr>
        <w:rPr>
          <w:rFonts w:hint="default" w:eastAsia="宋体"/>
          <w:lang w:val="en-US" w:eastAsia="zh-CN"/>
        </w:rPr>
      </w:pPr>
      <w:r>
        <w:rPr>
          <w:rFonts w:hint="default"/>
          <w:color w:val="000000"/>
          <w:sz w:val="21"/>
          <w:szCs w:val="21"/>
        </w:rPr>
        <w:t>3.</w:t>
      </w:r>
      <w:r>
        <w:rPr>
          <w:rFonts w:hint="default"/>
          <w:color w:val="000000"/>
          <w:sz w:val="21"/>
          <w:szCs w:val="21"/>
          <w:lang w:val="en-US" w:eastAsia="zh-CN"/>
        </w:rPr>
        <w:t>3.3</w:t>
      </w:r>
      <w:r>
        <w:rPr>
          <w:color w:val="000000"/>
          <w:sz w:val="21"/>
          <w:szCs w:val="21"/>
        </w:rPr>
        <w:t>.</w:t>
      </w:r>
      <w:r>
        <w:rPr>
          <w:rFonts w:hint="default"/>
          <w:color w:val="000000"/>
          <w:sz w:val="21"/>
          <w:szCs w:val="21"/>
          <w:lang w:val="en-US" w:eastAsia="zh-CN"/>
        </w:rPr>
        <w:t>2</w:t>
      </w:r>
      <w:r>
        <w:rPr>
          <w:color w:val="000000"/>
          <w:sz w:val="21"/>
          <w:szCs w:val="21"/>
        </w:rPr>
        <w:t xml:space="preserve"> 换流站</w:t>
      </w:r>
      <w:r>
        <w:rPr>
          <w:rFonts w:hint="default"/>
          <w:color w:val="000000"/>
          <w:sz w:val="21"/>
          <w:szCs w:val="21"/>
          <w:lang w:val="en-US" w:eastAsia="zh-CN"/>
        </w:rPr>
        <w:t>直</w:t>
      </w:r>
      <w:r>
        <w:rPr>
          <w:color w:val="000000"/>
          <w:sz w:val="21"/>
          <w:szCs w:val="21"/>
        </w:rPr>
        <w:t>流系统过电压</w:t>
      </w:r>
      <w:r>
        <w:rPr>
          <w:rFonts w:hint="default"/>
          <w:color w:val="000000"/>
          <w:sz w:val="21"/>
          <w:szCs w:val="21"/>
          <w:lang w:val="en-US" w:eastAsia="zh-CN"/>
        </w:rPr>
        <w:t>。应明确</w:t>
      </w:r>
      <w:r>
        <w:rPr>
          <w:color w:val="000000"/>
          <w:sz w:val="21"/>
          <w:szCs w:val="21"/>
        </w:rPr>
        <w:t>换流站</w:t>
      </w:r>
      <w:r>
        <w:rPr>
          <w:rFonts w:hint="default"/>
          <w:color w:val="000000"/>
          <w:sz w:val="21"/>
          <w:szCs w:val="21"/>
          <w:lang w:val="en-US" w:eastAsia="zh-CN"/>
        </w:rPr>
        <w:t>直</w:t>
      </w:r>
      <w:r>
        <w:rPr>
          <w:color w:val="000000"/>
          <w:sz w:val="21"/>
          <w:szCs w:val="21"/>
        </w:rPr>
        <w:t>流系统过电压</w:t>
      </w:r>
      <w:r>
        <w:rPr>
          <w:rFonts w:hint="default"/>
          <w:color w:val="000000"/>
          <w:sz w:val="21"/>
          <w:szCs w:val="21"/>
          <w:lang w:val="en-US" w:eastAsia="zh-CN"/>
        </w:rPr>
        <w:t>计算的主要工况、</w:t>
      </w:r>
      <w:r>
        <w:rPr>
          <w:color w:val="000000"/>
          <w:sz w:val="21"/>
          <w:szCs w:val="21"/>
        </w:rPr>
        <w:t>换流站</w:t>
      </w:r>
      <w:r>
        <w:rPr>
          <w:rFonts w:hint="eastAsia"/>
          <w:color w:val="000000"/>
          <w:sz w:val="21"/>
          <w:szCs w:val="21"/>
          <w:lang w:val="en-US" w:eastAsia="zh-CN"/>
        </w:rPr>
        <w:t>直</w:t>
      </w:r>
      <w:r>
        <w:rPr>
          <w:color w:val="000000"/>
          <w:sz w:val="21"/>
          <w:szCs w:val="21"/>
        </w:rPr>
        <w:t>流系统过电压</w:t>
      </w:r>
      <w:r>
        <w:rPr>
          <w:rFonts w:hint="default"/>
          <w:color w:val="000000"/>
          <w:sz w:val="21"/>
          <w:szCs w:val="21"/>
          <w:lang w:val="en-US" w:eastAsia="zh-CN"/>
        </w:rPr>
        <w:t>的</w:t>
      </w:r>
      <w:r>
        <w:rPr>
          <w:rFonts w:hint="eastAsia"/>
          <w:color w:val="000000"/>
          <w:sz w:val="21"/>
          <w:szCs w:val="21"/>
          <w:lang w:val="en-US" w:eastAsia="zh-CN"/>
        </w:rPr>
        <w:t>最大</w:t>
      </w:r>
      <w:r>
        <w:rPr>
          <w:rFonts w:hint="default"/>
          <w:color w:val="000000"/>
          <w:sz w:val="21"/>
          <w:szCs w:val="21"/>
          <w:lang w:val="en-US" w:eastAsia="zh-CN"/>
        </w:rPr>
        <w:t>值</w:t>
      </w:r>
      <w:r>
        <w:rPr>
          <w:rFonts w:hint="eastAsia"/>
          <w:color w:val="000000"/>
          <w:sz w:val="21"/>
          <w:szCs w:val="21"/>
          <w:lang w:val="en-US" w:eastAsia="zh-CN"/>
        </w:rPr>
        <w:t>、</w:t>
      </w:r>
      <w:r>
        <w:rPr>
          <w:rFonts w:hint="default"/>
          <w:color w:val="000000"/>
          <w:sz w:val="21"/>
          <w:szCs w:val="21"/>
          <w:lang w:val="en-US" w:eastAsia="zh-CN"/>
        </w:rPr>
        <w:t>避雷器配置方案</w:t>
      </w:r>
      <w:r>
        <w:rPr>
          <w:rFonts w:hint="eastAsia"/>
          <w:color w:val="000000"/>
          <w:sz w:val="21"/>
          <w:szCs w:val="21"/>
          <w:lang w:val="en-US" w:eastAsia="zh-CN"/>
        </w:rPr>
        <w:t>与</w:t>
      </w:r>
      <w:r>
        <w:rPr>
          <w:rFonts w:hint="default"/>
          <w:color w:val="000000"/>
          <w:sz w:val="21"/>
          <w:szCs w:val="21"/>
          <w:lang w:val="en-US" w:eastAsia="zh-CN"/>
        </w:rPr>
        <w:t>参数、换流站关键点绝缘水平。</w:t>
      </w:r>
    </w:p>
    <w:p w14:paraId="1F503EE9">
      <w:pPr>
        <w:rPr>
          <w:rFonts w:hint="default"/>
          <w:color w:val="000000"/>
          <w:sz w:val="21"/>
          <w:szCs w:val="21"/>
          <w:lang w:val="en-US" w:eastAsia="zh-CN"/>
        </w:rPr>
      </w:pPr>
      <w:r>
        <w:rPr>
          <w:rFonts w:hint="default"/>
          <w:color w:val="000000"/>
          <w:sz w:val="21"/>
          <w:szCs w:val="21"/>
        </w:rPr>
        <w:t>3.</w:t>
      </w:r>
      <w:r>
        <w:rPr>
          <w:rFonts w:hint="default"/>
          <w:color w:val="000000"/>
          <w:sz w:val="21"/>
          <w:szCs w:val="21"/>
          <w:lang w:val="en-US" w:eastAsia="zh-CN"/>
        </w:rPr>
        <w:t>3.3</w:t>
      </w:r>
      <w:r>
        <w:rPr>
          <w:color w:val="000000"/>
          <w:sz w:val="21"/>
          <w:szCs w:val="21"/>
        </w:rPr>
        <w:t>.</w:t>
      </w:r>
      <w:r>
        <w:rPr>
          <w:rFonts w:hint="default"/>
          <w:color w:val="000000"/>
          <w:sz w:val="21"/>
          <w:szCs w:val="21"/>
          <w:lang w:val="en-US" w:eastAsia="zh-CN"/>
        </w:rPr>
        <w:t>3</w:t>
      </w:r>
      <w:r>
        <w:rPr>
          <w:color w:val="000000"/>
          <w:sz w:val="21"/>
          <w:szCs w:val="21"/>
        </w:rPr>
        <w:t xml:space="preserve"> 高海拔地区外绝缘修正</w:t>
      </w:r>
      <w:r>
        <w:rPr>
          <w:rFonts w:hint="default"/>
          <w:color w:val="000000"/>
          <w:sz w:val="21"/>
          <w:szCs w:val="21"/>
          <w:lang w:eastAsia="zh-CN"/>
        </w:rPr>
        <w:t>（</w:t>
      </w:r>
      <w:r>
        <w:rPr>
          <w:rFonts w:hint="default"/>
          <w:color w:val="000000"/>
          <w:sz w:val="21"/>
          <w:szCs w:val="21"/>
          <w:lang w:val="en-US" w:eastAsia="zh-CN"/>
        </w:rPr>
        <w:t>如有</w:t>
      </w:r>
      <w:r>
        <w:rPr>
          <w:rFonts w:hint="default"/>
          <w:color w:val="000000"/>
          <w:sz w:val="21"/>
          <w:szCs w:val="21"/>
          <w:lang w:eastAsia="zh-CN"/>
        </w:rPr>
        <w:t>）</w:t>
      </w:r>
      <w:r>
        <w:rPr>
          <w:rFonts w:hint="default"/>
          <w:color w:val="000000"/>
          <w:sz w:val="21"/>
          <w:szCs w:val="21"/>
          <w:lang w:val="en-US" w:eastAsia="zh-CN"/>
        </w:rPr>
        <w:t>。应明确外绝缘的大气条件修正方法和外绝缘修正系数。</w:t>
      </w:r>
    </w:p>
    <w:p w14:paraId="32BDE71D">
      <w:pPr>
        <w:rPr>
          <w:rFonts w:hint="default"/>
          <w:color w:val="000000"/>
          <w:sz w:val="21"/>
          <w:szCs w:val="21"/>
          <w:lang w:val="en-US" w:eastAsia="zh-CN"/>
        </w:rPr>
      </w:pPr>
      <w:r>
        <w:rPr>
          <w:rFonts w:hint="default"/>
          <w:color w:val="000000"/>
          <w:sz w:val="21"/>
          <w:szCs w:val="21"/>
        </w:rPr>
        <w:t>3.</w:t>
      </w:r>
      <w:r>
        <w:rPr>
          <w:rFonts w:hint="default"/>
          <w:color w:val="000000"/>
          <w:sz w:val="21"/>
          <w:szCs w:val="21"/>
          <w:lang w:val="en-US" w:eastAsia="zh-CN"/>
        </w:rPr>
        <w:t>3.3</w:t>
      </w:r>
      <w:r>
        <w:rPr>
          <w:color w:val="000000"/>
          <w:sz w:val="21"/>
          <w:szCs w:val="21"/>
        </w:rPr>
        <w:t>.</w:t>
      </w:r>
      <w:r>
        <w:rPr>
          <w:rFonts w:hint="default"/>
          <w:color w:val="000000"/>
          <w:sz w:val="21"/>
          <w:szCs w:val="21"/>
          <w:lang w:val="en-US" w:eastAsia="zh-CN"/>
        </w:rPr>
        <w:t>4</w:t>
      </w:r>
      <w:r>
        <w:rPr>
          <w:color w:val="000000"/>
          <w:sz w:val="21"/>
          <w:szCs w:val="21"/>
        </w:rPr>
        <w:t xml:space="preserve"> </w:t>
      </w:r>
      <w:r>
        <w:rPr>
          <w:rFonts w:hint="default"/>
          <w:color w:val="000000"/>
          <w:sz w:val="21"/>
          <w:szCs w:val="21"/>
          <w:lang w:val="en-US" w:eastAsia="zh-CN"/>
        </w:rPr>
        <w:t>爬电比距。应明确交流开关场、阀厅、直流开关场的爬电比距。</w:t>
      </w:r>
    </w:p>
    <w:p w14:paraId="36460ED9">
      <w:pPr>
        <w:outlineLvl w:val="2"/>
        <w:rPr>
          <w:rFonts w:hint="default" w:ascii="Times New Roman" w:hAnsi="Times New Roman" w:eastAsia="宋体"/>
          <w:color w:val="000000"/>
          <w:lang w:val="en-US" w:eastAsia="zh-CN"/>
        </w:rPr>
      </w:pPr>
      <w:bookmarkStart w:id="150" w:name="_Toc13312"/>
      <w:bookmarkStart w:id="151" w:name="_Toc23115"/>
      <w:bookmarkStart w:id="152" w:name="_Toc11802"/>
      <w:bookmarkStart w:id="153" w:name="_Toc8310"/>
      <w:bookmarkStart w:id="154" w:name="_Toc12605"/>
      <w:r>
        <w:rPr>
          <w:rFonts w:hint="default" w:ascii="Times New Roman" w:hAnsi="Times New Roman" w:eastAsia="宋体"/>
          <w:color w:val="000000"/>
          <w:lang w:val="en-US" w:eastAsia="zh-CN"/>
        </w:rPr>
        <w:t>3.3.4</w:t>
      </w:r>
      <w:r>
        <w:rPr>
          <w:rFonts w:hint="default" w:ascii="Times New Roman" w:hAnsi="Times New Roman" w:eastAsia="宋体"/>
          <w:color w:val="000000"/>
        </w:rPr>
        <w:t xml:space="preserve"> </w:t>
      </w:r>
      <w:r>
        <w:rPr>
          <w:rFonts w:hint="default" w:ascii="Times New Roman" w:hAnsi="Times New Roman" w:eastAsia="宋体"/>
          <w:color w:val="000000"/>
          <w:lang w:val="en-US" w:eastAsia="zh-CN"/>
        </w:rPr>
        <w:t>换流站成套设备</w:t>
      </w:r>
      <w:bookmarkEnd w:id="150"/>
      <w:bookmarkEnd w:id="151"/>
      <w:bookmarkEnd w:id="152"/>
      <w:bookmarkEnd w:id="153"/>
      <w:bookmarkEnd w:id="154"/>
    </w:p>
    <w:p w14:paraId="2DED7B3C">
      <w:pPr>
        <w:rPr>
          <w:rFonts w:hint="default"/>
          <w:color w:val="000000"/>
          <w:sz w:val="21"/>
          <w:szCs w:val="21"/>
          <w:lang w:val="en-US" w:eastAsia="zh-CN"/>
        </w:rPr>
      </w:pPr>
      <w:r>
        <w:rPr>
          <w:rFonts w:hint="default"/>
          <w:color w:val="000000"/>
          <w:sz w:val="21"/>
          <w:szCs w:val="21"/>
        </w:rPr>
        <w:t>3.</w:t>
      </w:r>
      <w:r>
        <w:rPr>
          <w:rFonts w:hint="default"/>
          <w:color w:val="000000"/>
          <w:sz w:val="21"/>
          <w:szCs w:val="21"/>
          <w:lang w:val="en-US" w:eastAsia="zh-CN"/>
        </w:rPr>
        <w:t>3.4</w:t>
      </w:r>
      <w:r>
        <w:rPr>
          <w:color w:val="000000"/>
          <w:sz w:val="21"/>
          <w:szCs w:val="21"/>
        </w:rPr>
        <w:t>.</w:t>
      </w:r>
      <w:r>
        <w:rPr>
          <w:rFonts w:hint="default"/>
          <w:color w:val="000000"/>
          <w:sz w:val="21"/>
          <w:szCs w:val="21"/>
          <w:lang w:val="en-US" w:eastAsia="zh-CN"/>
        </w:rPr>
        <w:t>1 换流站成套设备主要包含换流阀、</w:t>
      </w:r>
      <w:r>
        <w:rPr>
          <w:rFonts w:hint="eastAsia"/>
          <w:color w:val="000000"/>
          <w:sz w:val="21"/>
          <w:szCs w:val="21"/>
          <w:lang w:val="en-US" w:eastAsia="zh-CN"/>
        </w:rPr>
        <w:t>联接</w:t>
      </w:r>
      <w:r>
        <w:rPr>
          <w:rFonts w:hint="default"/>
          <w:color w:val="000000"/>
          <w:sz w:val="21"/>
          <w:szCs w:val="21"/>
          <w:lang w:val="en-US" w:eastAsia="zh-CN"/>
        </w:rPr>
        <w:t>/换流变压器、交直流开关、交直流测量装置、交直流避雷器、交直流穿墙套管、桥臂电抗器（如有）、</w:t>
      </w:r>
      <w:r>
        <w:rPr>
          <w:rFonts w:hint="eastAsia"/>
          <w:color w:val="000000"/>
          <w:sz w:val="21"/>
          <w:szCs w:val="21"/>
          <w:lang w:val="en-US" w:eastAsia="zh-CN"/>
        </w:rPr>
        <w:t>直流/平波</w:t>
      </w:r>
      <w:r>
        <w:rPr>
          <w:rFonts w:hint="default"/>
          <w:color w:val="000000"/>
          <w:sz w:val="21"/>
          <w:szCs w:val="21"/>
          <w:lang w:val="en-US" w:eastAsia="zh-CN"/>
        </w:rPr>
        <w:t>电抗器（如有）、启动电阻（如有）、</w:t>
      </w:r>
      <w:r>
        <w:rPr>
          <w:rFonts w:hint="eastAsia"/>
          <w:color w:val="000000"/>
          <w:sz w:val="21"/>
          <w:szCs w:val="21"/>
          <w:lang w:val="en-US" w:eastAsia="zh-CN"/>
        </w:rPr>
        <w:t>接地电阻/电抗（如有）、</w:t>
      </w:r>
      <w:r>
        <w:rPr>
          <w:rFonts w:hint="default"/>
          <w:color w:val="000000"/>
          <w:sz w:val="21"/>
          <w:szCs w:val="21"/>
          <w:lang w:val="en-US" w:eastAsia="zh-CN"/>
        </w:rPr>
        <w:t>变压器中性点设备、交直流耗能装置（如有）、</w:t>
      </w:r>
      <w:r>
        <w:rPr>
          <w:rFonts w:hint="eastAsia"/>
          <w:color w:val="000000"/>
          <w:sz w:val="21"/>
          <w:szCs w:val="21"/>
          <w:lang w:val="en-US" w:eastAsia="zh-CN"/>
        </w:rPr>
        <w:t>交直流滤波器（如有）</w:t>
      </w:r>
      <w:r>
        <w:rPr>
          <w:rFonts w:hint="default"/>
          <w:color w:val="000000"/>
          <w:sz w:val="21"/>
          <w:szCs w:val="21"/>
          <w:lang w:val="en-US" w:eastAsia="zh-CN"/>
        </w:rPr>
        <w:t>、阻抗适配器</w:t>
      </w:r>
      <w:r>
        <w:rPr>
          <w:rFonts w:hint="eastAsia"/>
          <w:color w:val="000000"/>
          <w:sz w:val="21"/>
          <w:szCs w:val="21"/>
          <w:lang w:val="en-US" w:eastAsia="zh-CN"/>
        </w:rPr>
        <w:t>/幅相校正器</w:t>
      </w:r>
      <w:r>
        <w:rPr>
          <w:rFonts w:hint="default"/>
          <w:color w:val="000000"/>
          <w:sz w:val="21"/>
          <w:szCs w:val="21"/>
          <w:lang w:val="en-US" w:eastAsia="zh-CN"/>
        </w:rPr>
        <w:t>（如有）</w:t>
      </w:r>
      <w:r>
        <w:rPr>
          <w:rFonts w:hint="eastAsia"/>
          <w:color w:val="000000"/>
          <w:sz w:val="21"/>
          <w:szCs w:val="21"/>
          <w:lang w:val="en-US" w:eastAsia="zh-CN"/>
        </w:rPr>
        <w:t>等</w:t>
      </w:r>
      <w:r>
        <w:rPr>
          <w:rFonts w:hint="default"/>
          <w:color w:val="000000"/>
          <w:sz w:val="21"/>
          <w:szCs w:val="21"/>
          <w:lang w:val="en-US" w:eastAsia="zh-CN"/>
        </w:rPr>
        <w:t>。</w:t>
      </w:r>
    </w:p>
    <w:p w14:paraId="27BA5B56">
      <w:pPr>
        <w:rPr>
          <w:rFonts w:hint="default"/>
          <w:color w:val="000000"/>
          <w:sz w:val="21"/>
          <w:szCs w:val="21"/>
          <w:lang w:val="en-US" w:eastAsia="zh-CN"/>
        </w:rPr>
      </w:pPr>
      <w:r>
        <w:rPr>
          <w:rFonts w:hint="default"/>
          <w:color w:val="000000"/>
          <w:sz w:val="21"/>
          <w:szCs w:val="21"/>
        </w:rPr>
        <w:t>3.</w:t>
      </w:r>
      <w:r>
        <w:rPr>
          <w:rFonts w:hint="default"/>
          <w:color w:val="000000"/>
          <w:sz w:val="21"/>
          <w:szCs w:val="21"/>
          <w:lang w:val="en-US" w:eastAsia="zh-CN"/>
        </w:rPr>
        <w:t>3.4</w:t>
      </w:r>
      <w:r>
        <w:rPr>
          <w:color w:val="000000"/>
          <w:sz w:val="21"/>
          <w:szCs w:val="21"/>
        </w:rPr>
        <w:t>.</w:t>
      </w:r>
      <w:r>
        <w:rPr>
          <w:rFonts w:hint="default"/>
          <w:color w:val="000000"/>
          <w:sz w:val="21"/>
          <w:szCs w:val="21"/>
          <w:lang w:val="en-US" w:eastAsia="zh-CN"/>
        </w:rPr>
        <w:t>2 总体技术方案中应明确各成套设备的基本参数、型式、主要绝缘水平。</w:t>
      </w:r>
    </w:p>
    <w:p w14:paraId="15BF2865">
      <w:pPr>
        <w:outlineLvl w:val="2"/>
        <w:rPr>
          <w:rFonts w:hint="default" w:ascii="Times New Roman" w:hAnsi="Times New Roman" w:eastAsia="宋体"/>
          <w:color w:val="000000"/>
          <w:lang w:val="en-US" w:eastAsia="zh-CN"/>
        </w:rPr>
      </w:pPr>
      <w:bookmarkStart w:id="155" w:name="_Toc10971"/>
      <w:bookmarkStart w:id="156" w:name="_Toc8112"/>
      <w:bookmarkStart w:id="157" w:name="_Toc12400"/>
      <w:bookmarkStart w:id="158" w:name="_Toc1182"/>
      <w:bookmarkStart w:id="159" w:name="_Toc5492"/>
      <w:r>
        <w:rPr>
          <w:rFonts w:hint="default" w:ascii="Times New Roman" w:hAnsi="Times New Roman" w:eastAsia="宋体"/>
          <w:color w:val="000000"/>
          <w:lang w:val="en-US" w:eastAsia="zh-CN"/>
        </w:rPr>
        <w:t>3.3.5 直流控制保护</w:t>
      </w:r>
      <w:bookmarkEnd w:id="155"/>
      <w:bookmarkEnd w:id="156"/>
      <w:bookmarkEnd w:id="157"/>
      <w:bookmarkEnd w:id="158"/>
      <w:bookmarkEnd w:id="159"/>
    </w:p>
    <w:p w14:paraId="71F5E69D">
      <w:pPr>
        <w:rPr>
          <w:rFonts w:hint="default"/>
          <w:color w:val="000000"/>
          <w:sz w:val="21"/>
          <w:szCs w:val="21"/>
          <w:lang w:val="en-US" w:eastAsia="zh-CN"/>
        </w:rPr>
      </w:pPr>
      <w:r>
        <w:rPr>
          <w:rFonts w:hint="default"/>
          <w:color w:val="000000"/>
          <w:sz w:val="21"/>
          <w:szCs w:val="21"/>
          <w:lang w:val="en-US" w:eastAsia="zh-CN"/>
        </w:rPr>
        <w:t>3.3.5.1 总体技术方案中应明确直流控制保护系统的组成、总体设计原则、以及直流控制系统、直流保护系统、交流保护系统、SCADA系统、控制保护系统试验等内容的设计要求。</w:t>
      </w:r>
    </w:p>
    <w:p w14:paraId="0B6DE91E">
      <w:pPr>
        <w:rPr>
          <w:rFonts w:hint="default"/>
          <w:color w:val="000000"/>
          <w:sz w:val="21"/>
          <w:szCs w:val="21"/>
          <w:lang w:val="en-US" w:eastAsia="zh-CN"/>
        </w:rPr>
      </w:pPr>
      <w:r>
        <w:rPr>
          <w:rFonts w:hint="default"/>
          <w:color w:val="000000"/>
          <w:sz w:val="21"/>
          <w:szCs w:val="21"/>
          <w:lang w:val="en-US" w:eastAsia="zh-CN"/>
        </w:rPr>
        <w:t xml:space="preserve">3.3.5.2 </w:t>
      </w:r>
      <w:r>
        <w:rPr>
          <w:rFonts w:hint="default"/>
          <w:color w:val="000000"/>
          <w:sz w:val="21"/>
          <w:szCs w:val="21"/>
        </w:rPr>
        <w:t>直流控制系统</w:t>
      </w:r>
      <w:r>
        <w:rPr>
          <w:rFonts w:hint="default"/>
          <w:color w:val="000000"/>
          <w:sz w:val="21"/>
          <w:szCs w:val="21"/>
          <w:lang w:eastAsia="zh-CN"/>
        </w:rPr>
        <w:t>。</w:t>
      </w:r>
      <w:r>
        <w:rPr>
          <w:rFonts w:hint="default"/>
          <w:color w:val="000000"/>
          <w:sz w:val="21"/>
          <w:szCs w:val="21"/>
          <w:lang w:val="en-US" w:eastAsia="zh-CN"/>
        </w:rPr>
        <w:t>应包括直流控制系统的分层与冗余设计、基本控制模式、基本控制要求、附加控制，以及直流控制系统的稳定性、控制精度、换流器的控制周期等性能要求。</w:t>
      </w:r>
    </w:p>
    <w:p w14:paraId="38CA1684">
      <w:pPr>
        <w:rPr>
          <w:rFonts w:hint="default" w:eastAsia="宋体"/>
          <w:color w:val="000000"/>
          <w:sz w:val="21"/>
          <w:szCs w:val="21"/>
          <w:lang w:val="en-US" w:eastAsia="zh-CN"/>
        </w:rPr>
      </w:pPr>
      <w:r>
        <w:rPr>
          <w:rFonts w:hint="default"/>
          <w:color w:val="000000"/>
          <w:sz w:val="21"/>
          <w:szCs w:val="21"/>
          <w:lang w:val="en-US" w:eastAsia="zh-CN"/>
        </w:rPr>
        <w:t xml:space="preserve">3.3.5.3 </w:t>
      </w:r>
      <w:r>
        <w:rPr>
          <w:rFonts w:hint="default"/>
          <w:color w:val="000000"/>
          <w:sz w:val="21"/>
          <w:szCs w:val="21"/>
        </w:rPr>
        <w:t>直流</w:t>
      </w:r>
      <w:r>
        <w:rPr>
          <w:rFonts w:hint="default"/>
          <w:color w:val="000000"/>
          <w:sz w:val="21"/>
          <w:szCs w:val="21"/>
          <w:lang w:val="en-US" w:eastAsia="zh-CN"/>
        </w:rPr>
        <w:t>保护</w:t>
      </w:r>
      <w:r>
        <w:rPr>
          <w:rFonts w:hint="default"/>
          <w:color w:val="000000"/>
          <w:sz w:val="21"/>
          <w:szCs w:val="21"/>
        </w:rPr>
        <w:t>系统</w:t>
      </w:r>
      <w:r>
        <w:rPr>
          <w:rFonts w:hint="default"/>
          <w:color w:val="000000"/>
          <w:sz w:val="21"/>
          <w:szCs w:val="21"/>
          <w:lang w:eastAsia="zh-CN"/>
        </w:rPr>
        <w:t>。</w:t>
      </w:r>
      <w:r>
        <w:rPr>
          <w:rFonts w:hint="default"/>
          <w:color w:val="000000"/>
          <w:sz w:val="21"/>
          <w:szCs w:val="21"/>
          <w:lang w:val="en-US" w:eastAsia="zh-CN"/>
        </w:rPr>
        <w:t>应包括</w:t>
      </w:r>
      <w:r>
        <w:rPr>
          <w:rFonts w:hint="default"/>
          <w:color w:val="000000"/>
          <w:sz w:val="21"/>
          <w:szCs w:val="21"/>
        </w:rPr>
        <w:t>直流</w:t>
      </w:r>
      <w:r>
        <w:rPr>
          <w:rFonts w:hint="default"/>
          <w:color w:val="000000"/>
          <w:sz w:val="21"/>
          <w:szCs w:val="21"/>
          <w:lang w:val="en-US" w:eastAsia="zh-CN"/>
        </w:rPr>
        <w:t>保护</w:t>
      </w:r>
      <w:r>
        <w:rPr>
          <w:rFonts w:hint="default"/>
          <w:color w:val="000000"/>
          <w:sz w:val="21"/>
          <w:szCs w:val="21"/>
        </w:rPr>
        <w:t>系统</w:t>
      </w:r>
      <w:r>
        <w:rPr>
          <w:rFonts w:hint="default"/>
          <w:color w:val="000000"/>
          <w:sz w:val="21"/>
          <w:szCs w:val="21"/>
          <w:lang w:val="en-US" w:eastAsia="zh-CN"/>
        </w:rPr>
        <w:t>的功能要求和保护配置要求。</w:t>
      </w:r>
    </w:p>
    <w:p w14:paraId="6FB490EB">
      <w:pPr>
        <w:rPr>
          <w:rFonts w:hint="default" w:eastAsia="宋体"/>
          <w:color w:val="000000"/>
          <w:sz w:val="21"/>
          <w:szCs w:val="21"/>
          <w:lang w:val="en-US" w:eastAsia="zh-CN"/>
        </w:rPr>
      </w:pPr>
      <w:r>
        <w:rPr>
          <w:rFonts w:hint="default"/>
          <w:color w:val="000000"/>
          <w:sz w:val="21"/>
          <w:szCs w:val="21"/>
          <w:lang w:val="en-US" w:eastAsia="zh-CN"/>
        </w:rPr>
        <w:t>3.3.5.4 交流保护</w:t>
      </w:r>
      <w:r>
        <w:rPr>
          <w:rFonts w:hint="default"/>
          <w:color w:val="000000"/>
          <w:sz w:val="21"/>
          <w:szCs w:val="21"/>
        </w:rPr>
        <w:t>系统</w:t>
      </w:r>
      <w:r>
        <w:rPr>
          <w:rFonts w:hint="default"/>
          <w:color w:val="000000"/>
          <w:sz w:val="21"/>
          <w:szCs w:val="21"/>
          <w:lang w:eastAsia="zh-CN"/>
        </w:rPr>
        <w:t>。</w:t>
      </w:r>
      <w:r>
        <w:rPr>
          <w:rFonts w:hint="default"/>
          <w:color w:val="000000"/>
          <w:sz w:val="21"/>
          <w:szCs w:val="21"/>
          <w:lang w:val="en-US" w:eastAsia="zh-CN"/>
        </w:rPr>
        <w:t>应包括交流保护</w:t>
      </w:r>
      <w:r>
        <w:rPr>
          <w:rFonts w:hint="default"/>
          <w:color w:val="000000"/>
          <w:sz w:val="21"/>
          <w:szCs w:val="21"/>
        </w:rPr>
        <w:t>系统</w:t>
      </w:r>
      <w:r>
        <w:rPr>
          <w:rFonts w:hint="default"/>
          <w:color w:val="000000"/>
          <w:sz w:val="21"/>
          <w:szCs w:val="21"/>
          <w:lang w:val="en-US" w:eastAsia="zh-CN"/>
        </w:rPr>
        <w:t>的功能要求和保护配置要求。</w:t>
      </w:r>
    </w:p>
    <w:p w14:paraId="68253486">
      <w:pPr>
        <w:rPr>
          <w:rFonts w:hint="default"/>
          <w:color w:val="000000"/>
          <w:sz w:val="21"/>
          <w:szCs w:val="21"/>
          <w:lang w:val="en-US" w:eastAsia="zh-CN"/>
        </w:rPr>
      </w:pPr>
      <w:r>
        <w:rPr>
          <w:rFonts w:hint="default"/>
          <w:color w:val="000000"/>
          <w:sz w:val="21"/>
          <w:szCs w:val="21"/>
          <w:lang w:val="en-US" w:eastAsia="zh-CN"/>
        </w:rPr>
        <w:t>3.3.5.5</w:t>
      </w:r>
      <w:r>
        <w:rPr>
          <w:rFonts w:hint="eastAsia"/>
          <w:color w:val="000000"/>
          <w:sz w:val="21"/>
          <w:szCs w:val="21"/>
          <w:lang w:val="en-US" w:eastAsia="zh-CN"/>
        </w:rPr>
        <w:t xml:space="preserve"> </w:t>
      </w:r>
      <w:r>
        <w:rPr>
          <w:rFonts w:hint="default"/>
          <w:color w:val="000000"/>
          <w:sz w:val="21"/>
          <w:szCs w:val="21"/>
          <w:lang w:val="en-US" w:eastAsia="zh-CN"/>
        </w:rPr>
        <w:t>SCADA系统</w:t>
      </w:r>
      <w:r>
        <w:rPr>
          <w:rFonts w:hint="default"/>
          <w:color w:val="000000"/>
          <w:sz w:val="21"/>
          <w:szCs w:val="21"/>
          <w:lang w:eastAsia="zh-CN"/>
        </w:rPr>
        <w:t>。</w:t>
      </w:r>
      <w:r>
        <w:rPr>
          <w:rFonts w:hint="default"/>
          <w:color w:val="000000"/>
          <w:sz w:val="21"/>
          <w:szCs w:val="21"/>
          <w:lang w:val="en-US" w:eastAsia="zh-CN"/>
        </w:rPr>
        <w:t>应包含系统组成、性能要求、计算机监控系统控制功能、计算机监控系统监视功能、谐波监视系统、接地极线路监视（如有）、关键设备在线监测及分析系统、站主时钟系统、交直流暂态故障录波系统、直流线路故障定位系统、保护信息子站系统、直流远动系统、换流站文档管理系统等。</w:t>
      </w:r>
    </w:p>
    <w:p w14:paraId="044D4C89">
      <w:pPr>
        <w:rPr>
          <w:rFonts w:hint="default"/>
          <w:color w:val="000000"/>
          <w:sz w:val="21"/>
          <w:szCs w:val="21"/>
          <w:lang w:val="en-US" w:eastAsia="zh-CN"/>
        </w:rPr>
      </w:pPr>
      <w:r>
        <w:rPr>
          <w:rFonts w:hint="default"/>
          <w:color w:val="000000"/>
          <w:sz w:val="21"/>
          <w:szCs w:val="21"/>
          <w:lang w:val="en-US" w:eastAsia="zh-CN"/>
        </w:rPr>
        <w:t>3.3.5.6 控制保护系统试验。应包括控制保护系统试验准备要求（软硬件及接口、支撑的技术报告）准备要求、试验时间评估、试验内容。</w:t>
      </w:r>
    </w:p>
    <w:p w14:paraId="06FA8AB6">
      <w:pPr>
        <w:outlineLvl w:val="2"/>
        <w:rPr>
          <w:rFonts w:hint="default" w:ascii="Times New Roman" w:hAnsi="Times New Roman" w:eastAsia="宋体"/>
          <w:color w:val="000000"/>
          <w:lang w:val="en-US" w:eastAsia="zh-CN"/>
        </w:rPr>
      </w:pPr>
      <w:bookmarkStart w:id="160" w:name="_Toc1344"/>
      <w:bookmarkStart w:id="161" w:name="_Toc3561"/>
      <w:bookmarkStart w:id="162" w:name="_Toc9925"/>
      <w:bookmarkStart w:id="163" w:name="_Toc4033"/>
      <w:bookmarkStart w:id="164" w:name="_Toc16194"/>
      <w:r>
        <w:rPr>
          <w:rFonts w:hint="default" w:ascii="Times New Roman" w:hAnsi="Times New Roman" w:eastAsia="宋体"/>
          <w:color w:val="000000"/>
          <w:lang w:val="en-US" w:eastAsia="zh-CN"/>
        </w:rPr>
        <w:t>3.3.6 接地极设计要求</w:t>
      </w:r>
      <w:bookmarkEnd w:id="160"/>
      <w:bookmarkEnd w:id="161"/>
      <w:bookmarkEnd w:id="162"/>
      <w:bookmarkEnd w:id="163"/>
      <w:bookmarkEnd w:id="164"/>
    </w:p>
    <w:p w14:paraId="5732377C">
      <w:pPr>
        <w:ind w:firstLine="420"/>
        <w:rPr>
          <w:rFonts w:hint="default" w:ascii="Times New Roman" w:hAnsi="Times New Roman" w:eastAsia="宋体"/>
          <w:sz w:val="21"/>
          <w:szCs w:val="21"/>
          <w:lang w:val="en-US" w:eastAsia="zh-CN"/>
        </w:rPr>
      </w:pPr>
      <w:r>
        <w:rPr>
          <w:rFonts w:hint="default" w:ascii="Times New Roman" w:hAnsi="Times New Roman" w:eastAsia="宋体"/>
          <w:sz w:val="21"/>
          <w:szCs w:val="21"/>
          <w:lang w:val="en-US" w:eastAsia="zh-CN"/>
        </w:rPr>
        <w:t>直流输电工程采用对称双极拓扑时，应在总体技术方案中明确接地极设计要求，作为接地极设计依据。接地极设计要求应明确接地极设计边界条件的建议值，具体如下：</w:t>
      </w:r>
    </w:p>
    <w:p w14:paraId="527DAFFA">
      <w:pPr>
        <w:ind w:firstLine="420"/>
        <w:rPr>
          <w:rFonts w:hint="default" w:ascii="Times New Roman" w:hAnsi="Times New Roman" w:eastAsia="宋体"/>
          <w:sz w:val="21"/>
          <w:szCs w:val="21"/>
          <w:lang w:val="en-US" w:eastAsia="zh-CN"/>
        </w:rPr>
      </w:pPr>
      <w:r>
        <w:rPr>
          <w:rFonts w:hint="default" w:ascii="Times New Roman" w:hAnsi="Times New Roman" w:eastAsia="宋体"/>
          <w:sz w:val="21"/>
          <w:szCs w:val="21"/>
          <w:lang w:val="en-US" w:eastAsia="zh-CN"/>
        </w:rPr>
        <w:t>1 温升计算边界。应明确温升计算所需的直流入地电流及持续时间。</w:t>
      </w:r>
    </w:p>
    <w:p w14:paraId="2A09D511">
      <w:pPr>
        <w:ind w:firstLine="420"/>
        <w:rPr>
          <w:rFonts w:hint="default" w:ascii="Times New Roman" w:hAnsi="Times New Roman" w:eastAsia="宋体"/>
          <w:sz w:val="21"/>
          <w:szCs w:val="21"/>
          <w:lang w:val="en-US" w:eastAsia="zh-CN"/>
        </w:rPr>
      </w:pPr>
      <w:r>
        <w:rPr>
          <w:rFonts w:hint="default" w:ascii="Times New Roman" w:hAnsi="Times New Roman" w:eastAsia="宋体"/>
          <w:sz w:val="21"/>
          <w:szCs w:val="21"/>
          <w:lang w:val="en-US" w:eastAsia="zh-CN"/>
        </w:rPr>
        <w:t>2 接地极材料腐蚀量设计边界。应分别明确投运初期、正常运行期间、双极不平衡运行时的电流和持续时间。</w:t>
      </w:r>
    </w:p>
    <w:p w14:paraId="3BA34802">
      <w:pPr>
        <w:ind w:firstLine="420"/>
        <w:rPr>
          <w:rFonts w:hint="default" w:ascii="Times New Roman" w:hAnsi="Times New Roman" w:eastAsia="宋体"/>
          <w:szCs w:val="21"/>
          <w:lang w:val="en-US" w:eastAsia="zh-CN"/>
        </w:rPr>
      </w:pPr>
      <w:r>
        <w:rPr>
          <w:rFonts w:hint="default" w:ascii="Times New Roman" w:hAnsi="Times New Roman" w:eastAsia="宋体"/>
          <w:szCs w:val="21"/>
          <w:lang w:val="en-US" w:eastAsia="zh-CN"/>
        </w:rPr>
        <w:t>3 跨步电压计算边界。应明确跨步电压计算所需的入地电流。</w:t>
      </w:r>
    </w:p>
    <w:p w14:paraId="46A226AC">
      <w:pPr>
        <w:ind w:firstLine="420"/>
        <w:rPr>
          <w:rFonts w:hint="default" w:ascii="Times New Roman" w:hAnsi="Times New Roman" w:eastAsia="宋体"/>
          <w:szCs w:val="21"/>
          <w:lang w:val="en-US" w:eastAsia="zh-CN"/>
        </w:rPr>
      </w:pPr>
      <w:r>
        <w:rPr>
          <w:rFonts w:hint="eastAsia"/>
          <w:szCs w:val="21"/>
          <w:lang w:val="en-US" w:eastAsia="zh-CN"/>
        </w:rPr>
        <w:t>4</w:t>
      </w:r>
      <w:r>
        <w:rPr>
          <w:rFonts w:hint="default" w:ascii="Times New Roman" w:hAnsi="Times New Roman" w:eastAsia="宋体"/>
          <w:szCs w:val="21"/>
          <w:lang w:val="en-US" w:eastAsia="zh-CN"/>
        </w:rPr>
        <w:t xml:space="preserve"> </w:t>
      </w:r>
      <w:r>
        <w:rPr>
          <w:rFonts w:hint="eastAsia"/>
          <w:szCs w:val="21"/>
          <w:lang w:val="en-US" w:eastAsia="zh-CN"/>
        </w:rPr>
        <w:t>设计寿命</w:t>
      </w:r>
      <w:r>
        <w:rPr>
          <w:rFonts w:hint="default" w:ascii="Times New Roman" w:hAnsi="Times New Roman" w:eastAsia="宋体"/>
          <w:szCs w:val="21"/>
          <w:lang w:val="en-US" w:eastAsia="zh-CN"/>
        </w:rPr>
        <w:t>。</w:t>
      </w:r>
    </w:p>
    <w:p w14:paraId="554554A4">
      <w:pPr>
        <w:ind w:firstLine="420"/>
        <w:rPr>
          <w:rFonts w:hint="default" w:ascii="Times New Roman" w:hAnsi="Times New Roman" w:eastAsia="宋体"/>
          <w:szCs w:val="21"/>
          <w:lang w:val="en-US" w:eastAsia="zh-CN"/>
        </w:rPr>
      </w:pPr>
    </w:p>
    <w:p w14:paraId="2FC9A2FE">
      <w:pPr>
        <w:rPr>
          <w:rFonts w:hint="default" w:ascii="Times New Roman" w:hAnsi="Times New Roman" w:eastAsia="宋体"/>
          <w:color w:val="000000"/>
          <w:szCs w:val="21"/>
          <w:lang w:val="en-US" w:eastAsia="zh-CN"/>
        </w:rPr>
      </w:pPr>
      <w:r>
        <w:rPr>
          <w:rFonts w:hint="default" w:ascii="Times New Roman" w:hAnsi="Times New Roman" w:eastAsia="宋体"/>
          <w:color w:val="000000"/>
          <w:szCs w:val="21"/>
          <w:lang w:val="en-US" w:eastAsia="zh-CN"/>
        </w:rPr>
        <w:br w:type="page"/>
      </w:r>
    </w:p>
    <w:bookmarkEnd w:id="137"/>
    <w:bookmarkEnd w:id="138"/>
    <w:bookmarkEnd w:id="139"/>
    <w:p w14:paraId="2689BA2E">
      <w:pPr>
        <w:pStyle w:val="2"/>
        <w:rPr>
          <w:rFonts w:hint="default"/>
          <w:lang w:val="en-US" w:eastAsia="zh-CN"/>
        </w:rPr>
      </w:pPr>
      <w:bookmarkStart w:id="165" w:name="_Toc32753"/>
      <w:bookmarkStart w:id="166" w:name="_Toc31134"/>
      <w:bookmarkStart w:id="167" w:name="_Toc23304"/>
      <w:bookmarkStart w:id="168" w:name="_Toc21012"/>
      <w:bookmarkStart w:id="169" w:name="_Toc4057"/>
      <w:bookmarkStart w:id="170" w:name="_Toc9285"/>
      <w:bookmarkStart w:id="171" w:name="_Toc29065"/>
      <w:bookmarkStart w:id="172" w:name="_Toc30332"/>
      <w:bookmarkStart w:id="173" w:name="_Toc22797"/>
      <w:bookmarkStart w:id="174" w:name="_Toc11769"/>
      <w:bookmarkStart w:id="175" w:name="_Toc4361"/>
      <w:bookmarkStart w:id="176" w:name="_Toc12087"/>
      <w:bookmarkStart w:id="177" w:name="_Toc25333"/>
      <w:bookmarkStart w:id="178" w:name="_Toc2135"/>
      <w:bookmarkStart w:id="179" w:name="_Toc21855"/>
      <w:bookmarkStart w:id="180" w:name="_Toc11975"/>
      <w:r>
        <w:rPr>
          <w:rFonts w:hint="default"/>
          <w:lang w:val="en-US" w:eastAsia="zh-CN"/>
        </w:rPr>
        <w:t>4</w:t>
      </w:r>
      <w:r>
        <w:rPr>
          <w:rFonts w:hint="default"/>
        </w:rPr>
        <w:t xml:space="preserve"> </w:t>
      </w:r>
      <w:r>
        <w:rPr>
          <w:rFonts w:hint="default"/>
          <w:lang w:val="en-US" w:eastAsia="zh-CN"/>
        </w:rPr>
        <w:t>系统研究</w:t>
      </w:r>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p>
    <w:p w14:paraId="72BDF0FA">
      <w:pPr>
        <w:pStyle w:val="3"/>
        <w:rPr>
          <w:rFonts w:hint="default"/>
          <w:lang w:eastAsia="zh-CN"/>
        </w:rPr>
      </w:pPr>
      <w:bookmarkStart w:id="181" w:name="_Toc31512"/>
      <w:bookmarkStart w:id="182" w:name="_Toc24322"/>
      <w:bookmarkStart w:id="183" w:name="_Toc10384"/>
      <w:bookmarkStart w:id="184" w:name="_Toc526"/>
      <w:bookmarkStart w:id="185" w:name="_Toc20513"/>
      <w:bookmarkStart w:id="186" w:name="_Toc24742"/>
      <w:bookmarkStart w:id="187" w:name="_Toc9829"/>
      <w:bookmarkStart w:id="188" w:name="_Toc17087"/>
      <w:bookmarkStart w:id="189" w:name="_Toc19182"/>
      <w:bookmarkStart w:id="190" w:name="_Toc30180"/>
      <w:bookmarkStart w:id="191" w:name="_Toc16894"/>
      <w:bookmarkStart w:id="192" w:name="_Toc12940"/>
      <w:bookmarkStart w:id="193" w:name="_Toc12244"/>
      <w:bookmarkStart w:id="194" w:name="_Toc9993"/>
      <w:bookmarkStart w:id="195" w:name="_Toc30629"/>
      <w:bookmarkStart w:id="196" w:name="_Toc16827"/>
      <w:r>
        <w:rPr>
          <w:rFonts w:hint="default"/>
          <w:lang w:val="en-US" w:eastAsia="zh-CN"/>
        </w:rPr>
        <w:t>4</w:t>
      </w:r>
      <w:r>
        <w:rPr>
          <w:rFonts w:hint="default"/>
        </w:rPr>
        <w:t xml:space="preserve">.1 </w:t>
      </w:r>
      <w:r>
        <w:rPr>
          <w:rFonts w:hint="default"/>
          <w:lang w:val="en-US" w:eastAsia="zh-CN"/>
        </w:rPr>
        <w:t>概述</w:t>
      </w:r>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p>
    <w:p w14:paraId="6444E954">
      <w:pPr>
        <w:outlineLvl w:val="2"/>
        <w:rPr>
          <w:rFonts w:hint="default" w:ascii="Times New Roman" w:hAnsi="Times New Roman" w:eastAsia="宋体"/>
          <w:color w:val="000000"/>
          <w:sz w:val="21"/>
          <w:szCs w:val="21"/>
          <w:lang w:val="en-US" w:eastAsia="zh-CN"/>
        </w:rPr>
      </w:pPr>
      <w:bookmarkStart w:id="197" w:name="_Toc6369"/>
      <w:r>
        <w:rPr>
          <w:rFonts w:hint="default" w:ascii="Times New Roman" w:hAnsi="Times New Roman" w:eastAsia="宋体"/>
          <w:color w:val="000000"/>
          <w:sz w:val="21"/>
          <w:szCs w:val="21"/>
          <w:lang w:val="en-US" w:eastAsia="zh-CN"/>
        </w:rPr>
        <w:t>4.1.1 直流输电工程系统研究应涵盖直流系统配置、暂态电流、谐波抑制、交直流谐振、绝缘配合、直流性能、交直流故障穿越、成套设备要求及控制保护策略等方面</w:t>
      </w:r>
      <w:r>
        <w:rPr>
          <w:rFonts w:hint="default" w:ascii="Times New Roman" w:hAnsi="Times New Roman" w:eastAsia="宋体"/>
          <w:color w:val="000000"/>
          <w:sz w:val="21"/>
          <w:szCs w:val="21"/>
          <w:highlight w:val="none"/>
          <w:lang w:val="en-US" w:eastAsia="zh-CN"/>
        </w:rPr>
        <w:t>研究</w:t>
      </w:r>
      <w:bookmarkEnd w:id="197"/>
      <w:r>
        <w:rPr>
          <w:rFonts w:hint="eastAsia"/>
          <w:color w:val="000000"/>
          <w:sz w:val="21"/>
          <w:szCs w:val="21"/>
          <w:highlight w:val="none"/>
          <w:lang w:val="en-US" w:eastAsia="zh-CN"/>
        </w:rPr>
        <w:t>，</w:t>
      </w:r>
      <w:r>
        <w:rPr>
          <w:rFonts w:hint="default" w:ascii="Times New Roman" w:hAnsi="Times New Roman" w:eastAsia="宋体"/>
          <w:strike w:val="0"/>
          <w:color w:val="000000"/>
          <w:sz w:val="21"/>
          <w:szCs w:val="21"/>
          <w:highlight w:val="none"/>
          <w:lang w:val="en-US" w:eastAsia="zh-CN"/>
        </w:rPr>
        <w:t>交流系统接入</w:t>
      </w:r>
      <w:r>
        <w:rPr>
          <w:rFonts w:hint="eastAsia"/>
          <w:strike w:val="0"/>
          <w:color w:val="000000"/>
          <w:sz w:val="21"/>
          <w:szCs w:val="21"/>
          <w:highlight w:val="none"/>
          <w:lang w:val="en-US" w:eastAsia="zh-CN"/>
        </w:rPr>
        <w:t>相关研究，可由建设单位与成套设计单位共同商定后予以明确。</w:t>
      </w:r>
    </w:p>
    <w:p w14:paraId="0C5956DB">
      <w:pPr>
        <w:outlineLvl w:val="2"/>
        <w:rPr>
          <w:rFonts w:hint="default" w:ascii="Times New Roman" w:hAnsi="Times New Roman" w:eastAsia="宋体"/>
          <w:color w:val="000000"/>
          <w:sz w:val="21"/>
          <w:szCs w:val="21"/>
          <w:lang w:val="en-US" w:eastAsia="zh-CN"/>
        </w:rPr>
      </w:pPr>
      <w:bookmarkStart w:id="198" w:name="_Toc24610"/>
      <w:r>
        <w:rPr>
          <w:rFonts w:hint="default" w:ascii="Times New Roman" w:hAnsi="Times New Roman" w:eastAsia="宋体"/>
          <w:color w:val="000000"/>
          <w:sz w:val="21"/>
          <w:szCs w:val="21"/>
          <w:lang w:val="en-US" w:eastAsia="zh-CN"/>
        </w:rPr>
        <w:t>4.1.2 直流输电工程系统研究应结合工程实际，各项系统研究应协调统一，满足工程设计与运行需要。</w:t>
      </w:r>
      <w:bookmarkEnd w:id="198"/>
    </w:p>
    <w:p w14:paraId="3B9C7A6C">
      <w:pPr>
        <w:pStyle w:val="3"/>
        <w:rPr>
          <w:rFonts w:hint="default"/>
          <w:lang w:val="en-US"/>
        </w:rPr>
      </w:pPr>
      <w:bookmarkStart w:id="199" w:name="_Toc32327"/>
      <w:bookmarkStart w:id="200" w:name="_Toc1657"/>
      <w:bookmarkStart w:id="201" w:name="_Toc19109"/>
      <w:bookmarkStart w:id="202" w:name="_Toc1689"/>
      <w:bookmarkStart w:id="203" w:name="_Toc23907"/>
      <w:bookmarkStart w:id="204" w:name="_Toc27342"/>
      <w:bookmarkStart w:id="205" w:name="_Toc20438"/>
      <w:bookmarkStart w:id="206" w:name="_Toc21061"/>
      <w:bookmarkStart w:id="207" w:name="_Toc6480"/>
      <w:bookmarkStart w:id="208" w:name="_Toc32426"/>
      <w:bookmarkStart w:id="209" w:name="_Toc2356"/>
      <w:bookmarkStart w:id="210" w:name="_Toc2698"/>
      <w:bookmarkStart w:id="211" w:name="_Toc10580"/>
      <w:bookmarkStart w:id="212" w:name="_Toc12558"/>
      <w:bookmarkStart w:id="213" w:name="_Toc1475"/>
      <w:bookmarkStart w:id="214" w:name="_Toc4762"/>
      <w:r>
        <w:rPr>
          <w:rFonts w:hint="default"/>
          <w:lang w:val="en-US" w:eastAsia="zh-CN"/>
        </w:rPr>
        <w:t>4</w:t>
      </w:r>
      <w:r>
        <w:rPr>
          <w:rFonts w:hint="default"/>
        </w:rPr>
        <w:t>.</w:t>
      </w:r>
      <w:r>
        <w:rPr>
          <w:rFonts w:hint="default"/>
          <w:lang w:val="en-US" w:eastAsia="zh-CN"/>
        </w:rPr>
        <w:t>2</w:t>
      </w:r>
      <w:r>
        <w:rPr>
          <w:rFonts w:hint="default"/>
        </w:rPr>
        <w:t xml:space="preserve"> </w:t>
      </w:r>
      <w:r>
        <w:rPr>
          <w:rFonts w:hint="default"/>
          <w:lang w:val="en-US" w:eastAsia="zh-CN"/>
        </w:rPr>
        <w:t>直流系统配置</w:t>
      </w:r>
      <w:r>
        <w:rPr>
          <w:rFonts w:hint="eastAsia"/>
          <w:lang w:val="en-US" w:eastAsia="zh-CN"/>
        </w:rPr>
        <w:t>研究</w:t>
      </w:r>
      <w:bookmarkEnd w:id="199"/>
      <w:bookmarkEnd w:id="200"/>
      <w:bookmarkEnd w:id="201"/>
      <w:bookmarkEnd w:id="202"/>
      <w:bookmarkEnd w:id="203"/>
      <w:bookmarkEnd w:id="204"/>
      <w:bookmarkEnd w:id="205"/>
      <w:bookmarkEnd w:id="206"/>
      <w:bookmarkEnd w:id="207"/>
      <w:bookmarkEnd w:id="208"/>
    </w:p>
    <w:p w14:paraId="5E286A1F">
      <w:pPr>
        <w:outlineLvl w:val="2"/>
        <w:rPr>
          <w:rFonts w:hint="default" w:ascii="Times New Roman" w:hAnsi="Times New Roman" w:eastAsia="宋体" w:cstheme="minorBidi"/>
          <w:color w:val="000000"/>
          <w:sz w:val="21"/>
          <w:szCs w:val="21"/>
          <w:lang w:eastAsia="zh-CN"/>
        </w:rPr>
      </w:pPr>
      <w:bookmarkStart w:id="215" w:name="_Toc29327"/>
      <w:r>
        <w:rPr>
          <w:rFonts w:hint="default" w:ascii="Times New Roman" w:hAnsi="Times New Roman" w:eastAsia="宋体" w:cstheme="minorBidi"/>
          <w:color w:val="000000"/>
          <w:sz w:val="21"/>
          <w:szCs w:val="21"/>
          <w:lang w:val="en-US" w:eastAsia="zh-CN"/>
        </w:rPr>
        <w:t>4.2.1 换流站电气主接线研究</w:t>
      </w:r>
      <w:bookmarkEnd w:id="209"/>
      <w:bookmarkEnd w:id="210"/>
      <w:bookmarkEnd w:id="211"/>
      <w:bookmarkEnd w:id="212"/>
      <w:bookmarkEnd w:id="213"/>
      <w:bookmarkEnd w:id="214"/>
      <w:bookmarkEnd w:id="215"/>
    </w:p>
    <w:p w14:paraId="2E6F60CE">
      <w:pPr>
        <w:rPr>
          <w:rFonts w:hint="default"/>
          <w:color w:val="000000"/>
          <w:sz w:val="21"/>
          <w:szCs w:val="21"/>
          <w:lang w:val="en-US" w:eastAsia="zh-CN"/>
        </w:rPr>
      </w:pPr>
      <w:r>
        <w:rPr>
          <w:rFonts w:hint="default"/>
          <w:color w:val="000000"/>
          <w:sz w:val="21"/>
          <w:szCs w:val="21"/>
          <w:lang w:val="en-US" w:eastAsia="zh-CN"/>
        </w:rPr>
        <w:t>4.2.1.1 研究目的。应确定换流站的主要接线、设备配置以及各设备的连接方式，形成电气主接线图。</w:t>
      </w:r>
    </w:p>
    <w:p w14:paraId="136B2B01">
      <w:pPr>
        <w:rPr>
          <w:rFonts w:hint="default"/>
          <w:color w:val="000000"/>
          <w:sz w:val="21"/>
          <w:szCs w:val="21"/>
          <w:lang w:val="en-US" w:eastAsia="zh-CN"/>
        </w:rPr>
      </w:pPr>
      <w:r>
        <w:rPr>
          <w:rFonts w:hint="default"/>
          <w:color w:val="000000"/>
          <w:sz w:val="21"/>
          <w:szCs w:val="21"/>
          <w:lang w:val="en-US" w:eastAsia="zh-CN"/>
        </w:rPr>
        <w:t>4.2.1.2 研究要点</w:t>
      </w:r>
    </w:p>
    <w:p w14:paraId="5C16CD3C">
      <w:pPr>
        <w:ind w:firstLine="420"/>
        <w:rPr>
          <w:rFonts w:hint="default" w:ascii="Times New Roman" w:hAnsi="Times New Roman" w:eastAsia="宋体"/>
          <w:sz w:val="21"/>
          <w:szCs w:val="21"/>
          <w:lang w:val="en-US" w:eastAsia="zh-CN"/>
        </w:rPr>
      </w:pPr>
      <w:r>
        <w:rPr>
          <w:rFonts w:hint="default" w:ascii="Times New Roman" w:hAnsi="Times New Roman" w:eastAsia="宋体"/>
          <w:sz w:val="21"/>
          <w:szCs w:val="21"/>
          <w:lang w:val="en-US" w:eastAsia="zh-CN"/>
        </w:rPr>
        <w:t>1 根据换流站功能要求以及运行方式要求，确定换流站内的设备配置以及各设备的连接方式，至少包括：交流场接线、直流场接线、</w:t>
      </w:r>
      <w:r>
        <w:rPr>
          <w:rFonts w:hint="eastAsia"/>
          <w:sz w:val="21"/>
          <w:szCs w:val="21"/>
          <w:lang w:val="en-US" w:eastAsia="zh-CN"/>
        </w:rPr>
        <w:t>换流/柔直</w:t>
      </w:r>
      <w:r>
        <w:rPr>
          <w:rFonts w:hint="default" w:ascii="Times New Roman" w:hAnsi="Times New Roman" w:eastAsia="宋体"/>
          <w:sz w:val="21"/>
          <w:szCs w:val="21"/>
          <w:lang w:val="en-US" w:eastAsia="zh-CN"/>
        </w:rPr>
        <w:t>变压器及换流阀接线、交流滤波器场接线（适用时）、</w:t>
      </w:r>
      <w:r>
        <w:rPr>
          <w:rFonts w:hint="eastAsia"/>
          <w:sz w:val="21"/>
          <w:szCs w:val="21"/>
          <w:lang w:val="en-US" w:eastAsia="zh-CN"/>
        </w:rPr>
        <w:t>阻抗适配器</w:t>
      </w:r>
      <w:r>
        <w:rPr>
          <w:rFonts w:hint="default" w:ascii="Times New Roman" w:hAnsi="Times New Roman" w:eastAsia="宋体"/>
          <w:sz w:val="21"/>
          <w:szCs w:val="21"/>
          <w:lang w:val="en-US" w:eastAsia="zh-CN"/>
        </w:rPr>
        <w:t>接线（适用时）、启动回路（适用时）。</w:t>
      </w:r>
    </w:p>
    <w:p w14:paraId="4E25B621">
      <w:pPr>
        <w:ind w:firstLine="420"/>
        <w:rPr>
          <w:rFonts w:hint="default" w:ascii="Times New Roman" w:hAnsi="Times New Roman" w:eastAsia="宋体"/>
          <w:sz w:val="21"/>
          <w:szCs w:val="21"/>
          <w:lang w:val="en-US" w:eastAsia="zh-CN"/>
        </w:rPr>
      </w:pPr>
      <w:r>
        <w:rPr>
          <w:rFonts w:hint="default" w:ascii="Times New Roman" w:hAnsi="Times New Roman" w:eastAsia="宋体"/>
          <w:sz w:val="21"/>
          <w:szCs w:val="21"/>
          <w:lang w:val="en-US" w:eastAsia="zh-CN"/>
        </w:rPr>
        <w:t>2 交流场接线需明确交流配串情况，明确换流站内各设备的接入点，明确交流出线的接入点以及连接方向。</w:t>
      </w:r>
    </w:p>
    <w:p w14:paraId="1CFF99B5">
      <w:pPr>
        <w:ind w:firstLine="420"/>
        <w:rPr>
          <w:rFonts w:hint="default" w:ascii="Times New Roman" w:hAnsi="Times New Roman" w:eastAsia="宋体"/>
          <w:sz w:val="21"/>
          <w:szCs w:val="21"/>
          <w:lang w:val="en-US" w:eastAsia="zh-CN"/>
        </w:rPr>
      </w:pPr>
      <w:r>
        <w:rPr>
          <w:rFonts w:hint="default" w:ascii="Times New Roman" w:hAnsi="Times New Roman" w:eastAsia="宋体"/>
          <w:sz w:val="21"/>
          <w:szCs w:val="21"/>
          <w:lang w:val="en-US" w:eastAsia="zh-CN"/>
        </w:rPr>
        <w:t>3 直流场接线需明确直流系统基本运行方式，明确</w:t>
      </w:r>
      <w:r>
        <w:rPr>
          <w:rFonts w:hint="eastAsia"/>
          <w:sz w:val="21"/>
          <w:szCs w:val="21"/>
          <w:lang w:val="en-US" w:eastAsia="zh-CN"/>
        </w:rPr>
        <w:t>直流/平波</w:t>
      </w:r>
      <w:r>
        <w:rPr>
          <w:rFonts w:hint="default" w:ascii="Times New Roman" w:hAnsi="Times New Roman" w:eastAsia="宋体"/>
          <w:sz w:val="21"/>
          <w:szCs w:val="21"/>
          <w:lang w:val="en-US" w:eastAsia="zh-CN"/>
        </w:rPr>
        <w:t>电抗器、直流滤波器、阻波器、避雷器等设备的接入方式，明确双极运行、单极大地运行、单极金属运行方式转换所需的开关配置及接线。对于具备反转功能的直流输电系统，应明确配合反转要求的开关场接线方式。对于具备融冰功能的直流输电系统，应明确配合融冰方式的开关场接线方式。</w:t>
      </w:r>
    </w:p>
    <w:p w14:paraId="40CAF825">
      <w:pPr>
        <w:ind w:firstLine="420"/>
        <w:rPr>
          <w:rFonts w:hint="default" w:ascii="Times New Roman" w:hAnsi="Times New Roman" w:eastAsia="宋体"/>
          <w:sz w:val="21"/>
          <w:szCs w:val="21"/>
          <w:lang w:val="en-US" w:eastAsia="zh-CN"/>
        </w:rPr>
      </w:pPr>
      <w:r>
        <w:rPr>
          <w:rFonts w:hint="default" w:ascii="Times New Roman" w:hAnsi="Times New Roman" w:eastAsia="宋体"/>
          <w:sz w:val="21"/>
          <w:szCs w:val="21"/>
          <w:lang w:val="en-US" w:eastAsia="zh-CN"/>
        </w:rPr>
        <w:t>4 变压器与换流阀接线需明确换流阀接线方式与阀塔布置形式，需明确直流系统的阀组数量，明确变压器形式以及与换流阀的接线形式。</w:t>
      </w:r>
    </w:p>
    <w:p w14:paraId="6403637C">
      <w:pPr>
        <w:ind w:firstLine="420"/>
        <w:rPr>
          <w:rFonts w:hint="default" w:ascii="Times New Roman" w:hAnsi="Times New Roman" w:eastAsia="宋体"/>
          <w:sz w:val="21"/>
          <w:szCs w:val="21"/>
          <w:lang w:val="en-US" w:eastAsia="zh-CN"/>
        </w:rPr>
      </w:pPr>
      <w:r>
        <w:rPr>
          <w:rFonts w:hint="default" w:ascii="Times New Roman" w:hAnsi="Times New Roman" w:eastAsia="宋体"/>
          <w:sz w:val="21"/>
          <w:szCs w:val="21"/>
          <w:lang w:val="en-US" w:eastAsia="zh-CN"/>
        </w:rPr>
        <w:t>5 交流滤波器场接线，应明确交流滤波器大组、小组的接线方式。</w:t>
      </w:r>
    </w:p>
    <w:p w14:paraId="46C2AAD7">
      <w:pPr>
        <w:ind w:firstLine="420"/>
        <w:rPr>
          <w:rFonts w:hint="default" w:ascii="Times New Roman" w:hAnsi="Times New Roman" w:eastAsia="宋体"/>
          <w:sz w:val="21"/>
          <w:szCs w:val="21"/>
          <w:lang w:val="en-US" w:eastAsia="zh-CN"/>
        </w:rPr>
      </w:pPr>
      <w:r>
        <w:rPr>
          <w:rFonts w:hint="default" w:ascii="Times New Roman" w:hAnsi="Times New Roman" w:eastAsia="宋体"/>
          <w:sz w:val="21"/>
          <w:szCs w:val="21"/>
          <w:lang w:val="en-US" w:eastAsia="zh-CN"/>
        </w:rPr>
        <w:t>6 启动回路接线，应明确启动回路的接线方式，需明确启动回路的配置位置和开关配置。</w:t>
      </w:r>
    </w:p>
    <w:p w14:paraId="1CBB590B">
      <w:pPr>
        <w:ind w:firstLine="420"/>
        <w:rPr>
          <w:rFonts w:hint="default" w:ascii="Times New Roman" w:hAnsi="Times New Roman" w:eastAsia="宋体"/>
          <w:szCs w:val="21"/>
          <w:lang w:val="en-US" w:eastAsia="zh-CN"/>
        </w:rPr>
      </w:pPr>
      <w:r>
        <w:rPr>
          <w:rFonts w:hint="default" w:ascii="Times New Roman" w:hAnsi="Times New Roman" w:eastAsia="宋体"/>
          <w:szCs w:val="21"/>
          <w:lang w:val="en-US" w:eastAsia="zh-CN"/>
        </w:rPr>
        <w:t>7 主接线</w:t>
      </w:r>
      <w:r>
        <w:rPr>
          <w:rFonts w:hint="eastAsia" w:ascii="Times New Roman" w:hAnsi="Times New Roman" w:eastAsia="宋体"/>
          <w:szCs w:val="21"/>
          <w:lang w:val="en-US" w:eastAsia="zh-CN"/>
        </w:rPr>
        <w:t>，</w:t>
      </w:r>
      <w:r>
        <w:rPr>
          <w:rFonts w:hint="default" w:ascii="Times New Roman" w:hAnsi="Times New Roman" w:eastAsia="宋体"/>
          <w:szCs w:val="21"/>
          <w:lang w:val="en-US" w:eastAsia="zh-CN"/>
        </w:rPr>
        <w:t>应根据控制保护系统要求，确定换流站的交流侧和直流侧的测点布置要求。</w:t>
      </w:r>
    </w:p>
    <w:p w14:paraId="20833AFA">
      <w:pPr>
        <w:rPr>
          <w:rFonts w:hint="default"/>
          <w:color w:val="000000"/>
          <w:szCs w:val="21"/>
          <w:lang w:val="en-US" w:eastAsia="zh-CN"/>
        </w:rPr>
      </w:pPr>
      <w:r>
        <w:rPr>
          <w:rFonts w:hint="default"/>
          <w:color w:val="000000"/>
          <w:szCs w:val="21"/>
          <w:lang w:val="en-US" w:eastAsia="zh-CN"/>
        </w:rPr>
        <w:t>4.2.1.3 研究结论。应明确交流场接线、直流场接线、变压器及换流阀接线、交流滤波器场接线（适用时）、启动回路接线（适用时），并明确测点配置方案，提出换流站的电气主接线。</w:t>
      </w:r>
    </w:p>
    <w:p w14:paraId="06E78D5D">
      <w:pPr>
        <w:ind w:firstLine="420" w:firstLineChars="200"/>
        <w:rPr>
          <w:rFonts w:hint="default"/>
          <w:color w:val="000000"/>
          <w:szCs w:val="21"/>
          <w:lang w:val="en-US" w:eastAsia="zh-CN"/>
        </w:rPr>
      </w:pPr>
      <w:r>
        <w:rPr>
          <w:rFonts w:hint="eastAsia"/>
          <w:color w:val="000000"/>
          <w:szCs w:val="21"/>
          <w:lang w:val="en-US" w:eastAsia="zh-CN"/>
        </w:rPr>
        <w:t>8 应明确换流站户内、户外场之间的分界点，穿墙套管的配置位置。</w:t>
      </w:r>
    </w:p>
    <w:p w14:paraId="06624C92">
      <w:pPr>
        <w:outlineLvl w:val="2"/>
        <w:rPr>
          <w:rFonts w:hint="default" w:ascii="Times New Roman" w:hAnsi="Times New Roman" w:eastAsia="宋体" w:cstheme="minorBidi"/>
          <w:color w:val="000000"/>
          <w:sz w:val="21"/>
          <w:szCs w:val="21"/>
          <w:lang w:val="en-US" w:eastAsia="zh-CN"/>
        </w:rPr>
      </w:pPr>
      <w:bookmarkStart w:id="216" w:name="_Toc21927"/>
      <w:bookmarkStart w:id="217" w:name="_Toc24870"/>
      <w:bookmarkStart w:id="218" w:name="_Toc9818"/>
      <w:bookmarkStart w:id="219" w:name="_Toc1109"/>
      <w:bookmarkStart w:id="220" w:name="_Toc24354"/>
      <w:bookmarkStart w:id="221" w:name="_Toc4052"/>
      <w:bookmarkStart w:id="222" w:name="_Toc27199"/>
      <w:r>
        <w:rPr>
          <w:rFonts w:hint="default" w:ascii="Times New Roman" w:hAnsi="Times New Roman" w:eastAsia="宋体" w:cstheme="minorBidi"/>
          <w:color w:val="000000"/>
          <w:sz w:val="21"/>
          <w:szCs w:val="21"/>
          <w:lang w:val="en-US" w:eastAsia="zh-CN"/>
        </w:rPr>
        <w:t>4.</w:t>
      </w:r>
      <w:r>
        <w:rPr>
          <w:rFonts w:hint="default" w:ascii="Times New Roman" w:hAnsi="Times New Roman" w:eastAsia="宋体"/>
          <w:color w:val="000000"/>
          <w:lang w:val="en-US" w:eastAsia="zh-CN"/>
        </w:rPr>
        <w:t>2.2</w:t>
      </w:r>
      <w:r>
        <w:rPr>
          <w:rFonts w:hint="default" w:ascii="Times New Roman" w:hAnsi="Times New Roman" w:eastAsia="宋体" w:cstheme="minorBidi"/>
          <w:color w:val="000000"/>
          <w:sz w:val="21"/>
          <w:szCs w:val="21"/>
          <w:lang w:val="en-US" w:eastAsia="zh-CN"/>
        </w:rPr>
        <w:t xml:space="preserve"> 主回路参数计算</w:t>
      </w:r>
      <w:bookmarkEnd w:id="216"/>
      <w:bookmarkEnd w:id="217"/>
      <w:bookmarkEnd w:id="218"/>
      <w:bookmarkEnd w:id="219"/>
      <w:bookmarkEnd w:id="220"/>
      <w:bookmarkEnd w:id="221"/>
      <w:r>
        <w:rPr>
          <w:rFonts w:hint="eastAsia" w:ascii="Times New Roman" w:hAnsi="Times New Roman" w:eastAsia="宋体" w:cstheme="minorBidi"/>
          <w:color w:val="000000"/>
          <w:sz w:val="21"/>
          <w:szCs w:val="21"/>
          <w:lang w:val="en-US" w:eastAsia="zh-CN"/>
        </w:rPr>
        <w:t>研究</w:t>
      </w:r>
      <w:bookmarkEnd w:id="222"/>
    </w:p>
    <w:p w14:paraId="22B66CDF">
      <w:pPr>
        <w:rPr>
          <w:rFonts w:hint="default"/>
          <w:color w:val="000000"/>
          <w:sz w:val="21"/>
          <w:szCs w:val="21"/>
          <w:lang w:val="en-US" w:eastAsia="zh-CN"/>
        </w:rPr>
      </w:pPr>
      <w:r>
        <w:rPr>
          <w:rFonts w:hint="default"/>
          <w:color w:val="000000"/>
          <w:sz w:val="21"/>
          <w:szCs w:val="21"/>
          <w:lang w:val="en-US" w:eastAsia="zh-CN"/>
        </w:rPr>
        <w:t>4.2.2.1 研究目的。应确定换流站关键设备参数要求及基本形式要求，包括但不限于</w:t>
      </w:r>
      <w:r>
        <w:rPr>
          <w:rFonts w:hint="eastAsia"/>
          <w:color w:val="000000"/>
          <w:sz w:val="21"/>
          <w:szCs w:val="21"/>
          <w:lang w:val="en-US" w:eastAsia="zh-CN"/>
        </w:rPr>
        <w:t>换流/柔直</w:t>
      </w:r>
      <w:r>
        <w:rPr>
          <w:rFonts w:hint="default"/>
          <w:color w:val="000000"/>
          <w:sz w:val="21"/>
          <w:szCs w:val="21"/>
          <w:lang w:val="en-US" w:eastAsia="zh-CN"/>
        </w:rPr>
        <w:t>变压器、换流阀、桥臂电抗器等。</w:t>
      </w:r>
    </w:p>
    <w:p w14:paraId="597A6D75">
      <w:pPr>
        <w:rPr>
          <w:rFonts w:hint="default"/>
          <w:color w:val="000000"/>
          <w:sz w:val="21"/>
          <w:szCs w:val="21"/>
          <w:highlight w:val="none"/>
          <w:lang w:val="en-US" w:eastAsia="zh-CN"/>
        </w:rPr>
      </w:pPr>
      <w:r>
        <w:rPr>
          <w:rFonts w:hint="default"/>
          <w:color w:val="000000"/>
          <w:sz w:val="21"/>
          <w:szCs w:val="21"/>
          <w:highlight w:val="none"/>
          <w:lang w:val="en-US" w:eastAsia="zh-CN"/>
        </w:rPr>
        <w:t>4.2.2.2 基于电网换相的直流输电系统研究要点</w:t>
      </w:r>
    </w:p>
    <w:p w14:paraId="0846CB98">
      <w:pPr>
        <w:ind w:firstLine="420"/>
        <w:rPr>
          <w:rFonts w:hint="default" w:ascii="Times New Roman" w:hAnsi="Times New Roman" w:eastAsia="宋体"/>
          <w:sz w:val="21"/>
          <w:szCs w:val="21"/>
          <w:highlight w:val="none"/>
          <w:lang w:val="en-US" w:eastAsia="zh-CN"/>
        </w:rPr>
      </w:pPr>
      <w:r>
        <w:rPr>
          <w:rFonts w:hint="default" w:ascii="Times New Roman" w:hAnsi="Times New Roman" w:eastAsia="宋体"/>
          <w:sz w:val="21"/>
          <w:szCs w:val="21"/>
          <w:highlight w:val="none"/>
          <w:lang w:val="en-US" w:eastAsia="zh-CN"/>
        </w:rPr>
        <w:t>1 常规直流主回路参数计算</w:t>
      </w:r>
      <w:r>
        <w:rPr>
          <w:rFonts w:hint="eastAsia"/>
          <w:sz w:val="21"/>
          <w:szCs w:val="21"/>
          <w:highlight w:val="none"/>
          <w:lang w:val="en-US" w:eastAsia="zh-CN"/>
        </w:rPr>
        <w:t>报告</w:t>
      </w:r>
      <w:r>
        <w:rPr>
          <w:rFonts w:hint="default" w:ascii="Times New Roman" w:hAnsi="Times New Roman" w:eastAsia="宋体"/>
          <w:sz w:val="21"/>
          <w:szCs w:val="21"/>
          <w:highlight w:val="none"/>
          <w:lang w:val="en-US" w:eastAsia="zh-CN"/>
        </w:rPr>
        <w:t>应明确直流额定值，包括直流额定有功功率、无功功率</w:t>
      </w:r>
      <w:r>
        <w:rPr>
          <w:rFonts w:hint="eastAsia"/>
          <w:sz w:val="21"/>
          <w:szCs w:val="21"/>
          <w:highlight w:val="none"/>
          <w:lang w:val="en-US" w:eastAsia="zh-CN"/>
        </w:rPr>
        <w:t>消耗</w:t>
      </w:r>
      <w:r>
        <w:rPr>
          <w:rFonts w:hint="default" w:ascii="Times New Roman" w:hAnsi="Times New Roman" w:eastAsia="宋体"/>
          <w:sz w:val="21"/>
          <w:szCs w:val="21"/>
          <w:highlight w:val="none"/>
          <w:lang w:val="en-US" w:eastAsia="zh-CN"/>
        </w:rPr>
        <w:t>、直流额定电压、直流额定电流、直流降压运行电压（如有）等。</w:t>
      </w:r>
    </w:p>
    <w:p w14:paraId="74DC18E9">
      <w:pPr>
        <w:ind w:firstLine="420"/>
        <w:rPr>
          <w:rFonts w:hint="default" w:ascii="Times New Roman" w:hAnsi="Times New Roman" w:eastAsia="宋体"/>
          <w:sz w:val="21"/>
          <w:szCs w:val="21"/>
          <w:highlight w:val="none"/>
          <w:lang w:val="en-US" w:eastAsia="zh-CN"/>
        </w:rPr>
      </w:pPr>
      <w:r>
        <w:rPr>
          <w:rFonts w:hint="default" w:ascii="Times New Roman" w:hAnsi="Times New Roman" w:eastAsia="宋体"/>
          <w:sz w:val="21"/>
          <w:szCs w:val="21"/>
          <w:highlight w:val="none"/>
          <w:lang w:val="en-US" w:eastAsia="zh-CN"/>
        </w:rPr>
        <w:t xml:space="preserve">2 </w:t>
      </w:r>
      <w:r>
        <w:rPr>
          <w:rFonts w:hint="eastAsia"/>
          <w:sz w:val="21"/>
          <w:szCs w:val="21"/>
          <w:highlight w:val="none"/>
          <w:lang w:val="en-US" w:eastAsia="zh-CN"/>
        </w:rPr>
        <w:t>报告需明确</w:t>
      </w:r>
      <w:r>
        <w:rPr>
          <w:rFonts w:hint="default" w:ascii="Times New Roman" w:hAnsi="Times New Roman" w:eastAsia="宋体"/>
          <w:sz w:val="21"/>
          <w:szCs w:val="21"/>
          <w:highlight w:val="none"/>
          <w:lang w:val="en-US" w:eastAsia="zh-CN"/>
        </w:rPr>
        <w:t>换流阀</w:t>
      </w:r>
      <w:r>
        <w:rPr>
          <w:rFonts w:hint="eastAsia"/>
          <w:sz w:val="21"/>
          <w:szCs w:val="21"/>
          <w:highlight w:val="none"/>
          <w:lang w:val="en-US" w:eastAsia="zh-CN"/>
        </w:rPr>
        <w:t>的</w:t>
      </w:r>
      <w:r>
        <w:rPr>
          <w:rFonts w:hint="default" w:ascii="Times New Roman" w:hAnsi="Times New Roman" w:eastAsia="宋体"/>
          <w:sz w:val="21"/>
          <w:szCs w:val="21"/>
          <w:highlight w:val="none"/>
          <w:lang w:val="en-US" w:eastAsia="zh-CN"/>
        </w:rPr>
        <w:t>额定触发角度</w:t>
      </w:r>
      <w:r>
        <w:rPr>
          <w:rFonts w:hint="eastAsia"/>
          <w:sz w:val="21"/>
          <w:szCs w:val="21"/>
          <w:highlight w:val="none"/>
          <w:lang w:val="en-US" w:eastAsia="zh-CN"/>
        </w:rPr>
        <w:t>、角度控制偏差范围</w:t>
      </w:r>
      <w:r>
        <w:rPr>
          <w:rFonts w:hint="default" w:ascii="Times New Roman" w:hAnsi="Times New Roman" w:eastAsia="宋体"/>
          <w:sz w:val="21"/>
          <w:szCs w:val="21"/>
          <w:highlight w:val="none"/>
          <w:lang w:val="en-US" w:eastAsia="zh-CN"/>
        </w:rPr>
        <w:t>。</w:t>
      </w:r>
    </w:p>
    <w:p w14:paraId="68F11DFF">
      <w:pPr>
        <w:ind w:firstLine="420"/>
        <w:rPr>
          <w:rFonts w:hint="default" w:ascii="Times New Roman" w:hAnsi="Times New Roman" w:eastAsia="宋体"/>
          <w:sz w:val="21"/>
          <w:szCs w:val="21"/>
          <w:highlight w:val="none"/>
          <w:lang w:val="en-US" w:eastAsia="zh-CN"/>
        </w:rPr>
      </w:pPr>
      <w:r>
        <w:rPr>
          <w:rFonts w:hint="default" w:ascii="Times New Roman" w:hAnsi="Times New Roman" w:eastAsia="宋体"/>
          <w:sz w:val="21"/>
          <w:szCs w:val="21"/>
          <w:highlight w:val="none"/>
          <w:lang w:val="en-US" w:eastAsia="zh-CN"/>
        </w:rPr>
        <w:t>3 报告应明确</w:t>
      </w:r>
      <w:r>
        <w:rPr>
          <w:rFonts w:hint="eastAsia"/>
          <w:sz w:val="21"/>
          <w:szCs w:val="21"/>
          <w:highlight w:val="none"/>
          <w:lang w:val="en-US" w:eastAsia="zh-CN"/>
        </w:rPr>
        <w:t>换流变压器</w:t>
      </w:r>
      <w:r>
        <w:rPr>
          <w:rFonts w:hint="default" w:ascii="Times New Roman" w:hAnsi="Times New Roman" w:eastAsia="宋体"/>
          <w:sz w:val="21"/>
          <w:szCs w:val="21"/>
          <w:highlight w:val="none"/>
          <w:lang w:val="en-US" w:eastAsia="zh-CN"/>
        </w:rPr>
        <w:t>的额定容量、短路阻抗、网侧绕组/阀侧绕组额定电压、分接开关级数和间隔等基本参数。</w:t>
      </w:r>
    </w:p>
    <w:p w14:paraId="206CA9C5">
      <w:pPr>
        <w:ind w:firstLine="420"/>
        <w:rPr>
          <w:rFonts w:hint="default" w:ascii="Times New Roman" w:hAnsi="Times New Roman" w:eastAsia="宋体"/>
          <w:sz w:val="21"/>
          <w:szCs w:val="21"/>
          <w:highlight w:val="none"/>
          <w:lang w:val="en-US" w:eastAsia="zh-CN"/>
        </w:rPr>
      </w:pPr>
      <w:r>
        <w:rPr>
          <w:rFonts w:hint="eastAsia"/>
          <w:sz w:val="21"/>
          <w:szCs w:val="21"/>
          <w:highlight w:val="none"/>
          <w:lang w:val="en-US" w:eastAsia="zh-CN"/>
        </w:rPr>
        <w:t>4</w:t>
      </w:r>
      <w:r>
        <w:rPr>
          <w:rFonts w:hint="default" w:ascii="Times New Roman" w:hAnsi="Times New Roman" w:eastAsia="宋体"/>
          <w:sz w:val="21"/>
          <w:szCs w:val="21"/>
          <w:highlight w:val="none"/>
          <w:lang w:val="en-US" w:eastAsia="zh-CN"/>
        </w:rPr>
        <w:t xml:space="preserve"> </w:t>
      </w:r>
      <w:r>
        <w:rPr>
          <w:rFonts w:hint="eastAsia"/>
          <w:sz w:val="21"/>
          <w:szCs w:val="21"/>
          <w:highlight w:val="none"/>
          <w:lang w:val="en-US" w:eastAsia="zh-CN"/>
        </w:rPr>
        <w:t>报告需明确平波电抗器的电感值</w:t>
      </w:r>
      <w:r>
        <w:rPr>
          <w:rFonts w:hint="default" w:ascii="Times New Roman" w:hAnsi="Times New Roman" w:eastAsia="宋体"/>
          <w:sz w:val="21"/>
          <w:szCs w:val="21"/>
          <w:highlight w:val="none"/>
          <w:lang w:val="en-US" w:eastAsia="zh-CN"/>
        </w:rPr>
        <w:t>。</w:t>
      </w:r>
    </w:p>
    <w:p w14:paraId="25926A35">
      <w:pPr>
        <w:ind w:firstLine="420"/>
        <w:rPr>
          <w:rFonts w:hint="default" w:ascii="Times New Roman" w:hAnsi="Times New Roman" w:eastAsia="宋体"/>
          <w:sz w:val="21"/>
          <w:szCs w:val="21"/>
          <w:highlight w:val="none"/>
          <w:lang w:val="en-US" w:eastAsia="zh-CN"/>
        </w:rPr>
      </w:pPr>
      <w:r>
        <w:rPr>
          <w:rFonts w:hint="eastAsia"/>
          <w:sz w:val="21"/>
          <w:szCs w:val="21"/>
          <w:highlight w:val="none"/>
          <w:lang w:val="en-US" w:eastAsia="zh-CN"/>
        </w:rPr>
        <w:t>5 报告应对直流系统各种运行方式下的运行状态进行校核，确保直流主回路参数能够满足系统调节需求。</w:t>
      </w:r>
    </w:p>
    <w:p w14:paraId="0B6E5C29">
      <w:pPr>
        <w:rPr>
          <w:rFonts w:hint="default"/>
          <w:color w:val="000000"/>
          <w:sz w:val="21"/>
          <w:szCs w:val="21"/>
          <w:highlight w:val="none"/>
          <w:lang w:val="en-US" w:eastAsia="zh-CN"/>
        </w:rPr>
      </w:pPr>
      <w:r>
        <w:rPr>
          <w:rFonts w:hint="default"/>
          <w:color w:val="000000"/>
          <w:sz w:val="21"/>
          <w:szCs w:val="21"/>
          <w:highlight w:val="none"/>
          <w:lang w:val="en-US" w:eastAsia="zh-CN"/>
        </w:rPr>
        <w:t>4.2.2.3 基于</w:t>
      </w:r>
      <w:r>
        <w:rPr>
          <w:rFonts w:hint="eastAsia"/>
          <w:color w:val="000000"/>
          <w:sz w:val="21"/>
          <w:szCs w:val="21"/>
          <w:highlight w:val="none"/>
          <w:lang w:val="en-US" w:eastAsia="zh-CN"/>
        </w:rPr>
        <w:t>模块化</w:t>
      </w:r>
      <w:r>
        <w:rPr>
          <w:rFonts w:hint="default"/>
          <w:color w:val="000000"/>
          <w:sz w:val="21"/>
          <w:szCs w:val="21"/>
          <w:highlight w:val="none"/>
          <w:lang w:val="en-US" w:eastAsia="zh-CN"/>
        </w:rPr>
        <w:t>多电平的柔性直流输电系统研究要点</w:t>
      </w:r>
    </w:p>
    <w:p w14:paraId="151A6F48">
      <w:pPr>
        <w:ind w:firstLine="420"/>
        <w:rPr>
          <w:rFonts w:hint="default" w:ascii="Times New Roman" w:hAnsi="Times New Roman" w:eastAsia="宋体"/>
          <w:sz w:val="21"/>
          <w:szCs w:val="21"/>
          <w:highlight w:val="none"/>
          <w:lang w:val="en-US" w:eastAsia="zh-CN"/>
        </w:rPr>
      </w:pPr>
      <w:r>
        <w:rPr>
          <w:rFonts w:hint="default" w:ascii="Times New Roman" w:hAnsi="Times New Roman" w:eastAsia="宋体"/>
          <w:sz w:val="21"/>
          <w:szCs w:val="21"/>
          <w:highlight w:val="none"/>
          <w:lang w:val="en-US" w:eastAsia="zh-CN"/>
        </w:rPr>
        <w:t>1 柔性直流主回路参数计算</w:t>
      </w:r>
      <w:r>
        <w:rPr>
          <w:rFonts w:hint="eastAsia"/>
          <w:sz w:val="21"/>
          <w:szCs w:val="21"/>
          <w:highlight w:val="none"/>
          <w:lang w:val="en-US" w:eastAsia="zh-CN"/>
        </w:rPr>
        <w:t>报告应明确直流额定值，包括直流额定有功功率、无功功率支撑能力、直流额定电压、直流额定电流、直流降压运行电压（如有）等。</w:t>
      </w:r>
    </w:p>
    <w:p w14:paraId="184B7B53">
      <w:pPr>
        <w:ind w:firstLine="420"/>
        <w:rPr>
          <w:rFonts w:hint="default" w:ascii="Times New Roman" w:hAnsi="Times New Roman" w:eastAsia="宋体"/>
          <w:sz w:val="21"/>
          <w:szCs w:val="21"/>
          <w:highlight w:val="none"/>
          <w:lang w:val="en-US" w:eastAsia="zh-CN"/>
        </w:rPr>
      </w:pPr>
      <w:r>
        <w:rPr>
          <w:rFonts w:hint="eastAsia"/>
          <w:sz w:val="21"/>
          <w:szCs w:val="21"/>
          <w:highlight w:val="none"/>
          <w:lang w:val="en-US" w:eastAsia="zh-CN"/>
        </w:rPr>
        <w:t xml:space="preserve">2 </w:t>
      </w:r>
      <w:r>
        <w:rPr>
          <w:rFonts w:hint="default" w:ascii="Times New Roman" w:hAnsi="Times New Roman" w:eastAsia="宋体"/>
          <w:sz w:val="21"/>
          <w:szCs w:val="21"/>
          <w:highlight w:val="none"/>
          <w:lang w:val="en-US" w:eastAsia="zh-CN"/>
        </w:rPr>
        <w:t>柔性直流主回路参数计算</w:t>
      </w:r>
      <w:r>
        <w:rPr>
          <w:rFonts w:hint="eastAsia"/>
          <w:sz w:val="21"/>
          <w:szCs w:val="21"/>
          <w:highlight w:val="none"/>
          <w:lang w:val="en-US" w:eastAsia="zh-CN"/>
        </w:rPr>
        <w:t>报告应明确</w:t>
      </w:r>
      <w:r>
        <w:rPr>
          <w:rFonts w:hint="default" w:ascii="Times New Roman" w:hAnsi="Times New Roman" w:eastAsia="宋体"/>
          <w:sz w:val="21"/>
          <w:szCs w:val="21"/>
          <w:highlight w:val="none"/>
          <w:lang w:val="en-US" w:eastAsia="zh-CN"/>
        </w:rPr>
        <w:t>换流阀、</w:t>
      </w:r>
      <w:r>
        <w:rPr>
          <w:rFonts w:hint="eastAsia"/>
          <w:sz w:val="21"/>
          <w:szCs w:val="21"/>
          <w:highlight w:val="none"/>
          <w:lang w:val="en-US" w:eastAsia="zh-CN"/>
        </w:rPr>
        <w:t>联接/换流</w:t>
      </w:r>
      <w:r>
        <w:rPr>
          <w:rFonts w:hint="default" w:ascii="Times New Roman" w:hAnsi="Times New Roman" w:eastAsia="宋体"/>
          <w:sz w:val="21"/>
          <w:szCs w:val="21"/>
          <w:highlight w:val="none"/>
          <w:lang w:val="en-US" w:eastAsia="zh-CN"/>
        </w:rPr>
        <w:t>变压器、桥臂电抗器等</w:t>
      </w:r>
      <w:r>
        <w:rPr>
          <w:rFonts w:hint="eastAsia"/>
          <w:sz w:val="21"/>
          <w:szCs w:val="21"/>
          <w:highlight w:val="none"/>
          <w:lang w:val="en-US" w:eastAsia="zh-CN"/>
        </w:rPr>
        <w:t>核心设备的基本</w:t>
      </w:r>
      <w:r>
        <w:rPr>
          <w:rFonts w:hint="default" w:ascii="Times New Roman" w:hAnsi="Times New Roman" w:eastAsia="宋体"/>
          <w:sz w:val="21"/>
          <w:szCs w:val="21"/>
          <w:highlight w:val="none"/>
          <w:lang w:val="en-US" w:eastAsia="zh-CN"/>
        </w:rPr>
        <w:t>参数。</w:t>
      </w:r>
    </w:p>
    <w:p w14:paraId="6C83176B">
      <w:pPr>
        <w:ind w:firstLine="420"/>
        <w:rPr>
          <w:rFonts w:hint="default" w:eastAsia="宋体"/>
          <w:sz w:val="21"/>
          <w:szCs w:val="21"/>
          <w:highlight w:val="none"/>
          <w:lang w:val="en-US" w:eastAsia="zh-CN"/>
        </w:rPr>
      </w:pPr>
      <w:r>
        <w:rPr>
          <w:rFonts w:hint="eastAsia"/>
          <w:sz w:val="21"/>
          <w:szCs w:val="21"/>
          <w:highlight w:val="none"/>
          <w:lang w:val="en-US" w:eastAsia="zh-CN"/>
        </w:rPr>
        <w:t>3</w:t>
      </w:r>
      <w:r>
        <w:rPr>
          <w:rFonts w:hint="default" w:ascii="Times New Roman" w:hAnsi="Times New Roman" w:eastAsia="宋体"/>
          <w:sz w:val="21"/>
          <w:szCs w:val="21"/>
          <w:highlight w:val="none"/>
          <w:lang w:val="en-US" w:eastAsia="zh-CN"/>
        </w:rPr>
        <w:t xml:space="preserve"> </w:t>
      </w:r>
      <w:r>
        <w:rPr>
          <w:rFonts w:hint="eastAsia"/>
          <w:sz w:val="21"/>
          <w:szCs w:val="21"/>
          <w:highlight w:val="none"/>
          <w:lang w:val="en-US" w:eastAsia="zh-CN"/>
        </w:rPr>
        <w:t>报告应</w:t>
      </w:r>
      <w:r>
        <w:rPr>
          <w:rFonts w:hint="eastAsia" w:ascii="Times New Roman" w:hAnsi="Times New Roman" w:cs="Times New Roman"/>
          <w:highlight w:val="none"/>
          <w:lang w:val="en-US" w:eastAsia="zh-CN"/>
        </w:rPr>
        <w:t>明确换流阀功率模块数量、功率器件额定电压和额定电流、直流电容器容值等基本参数。</w:t>
      </w:r>
    </w:p>
    <w:p w14:paraId="775020BA">
      <w:pPr>
        <w:ind w:firstLine="420"/>
        <w:rPr>
          <w:rFonts w:hint="default" w:ascii="Times New Roman" w:hAnsi="Times New Roman" w:eastAsia="宋体"/>
          <w:sz w:val="21"/>
          <w:szCs w:val="21"/>
          <w:highlight w:val="none"/>
          <w:lang w:val="en-US" w:eastAsia="zh-CN"/>
        </w:rPr>
      </w:pPr>
      <w:r>
        <w:rPr>
          <w:rFonts w:hint="eastAsia"/>
          <w:sz w:val="21"/>
          <w:szCs w:val="21"/>
          <w:highlight w:val="none"/>
          <w:lang w:val="en-US" w:eastAsia="zh-CN"/>
        </w:rPr>
        <w:t>4</w:t>
      </w:r>
      <w:r>
        <w:rPr>
          <w:rFonts w:hint="default" w:ascii="Times New Roman" w:hAnsi="Times New Roman" w:eastAsia="宋体"/>
          <w:sz w:val="21"/>
          <w:szCs w:val="21"/>
          <w:highlight w:val="none"/>
          <w:lang w:val="en-US" w:eastAsia="zh-CN"/>
        </w:rPr>
        <w:t xml:space="preserve"> </w:t>
      </w:r>
      <w:r>
        <w:rPr>
          <w:rFonts w:hint="eastAsia"/>
          <w:sz w:val="21"/>
          <w:szCs w:val="21"/>
          <w:highlight w:val="none"/>
          <w:lang w:val="en-US" w:eastAsia="zh-CN"/>
        </w:rPr>
        <w:t>报告应明确联接/换流</w:t>
      </w:r>
      <w:r>
        <w:rPr>
          <w:rFonts w:hint="default" w:ascii="Times New Roman" w:hAnsi="Times New Roman" w:eastAsia="宋体"/>
          <w:sz w:val="21"/>
          <w:szCs w:val="21"/>
          <w:highlight w:val="none"/>
          <w:lang w:val="en-US" w:eastAsia="zh-CN"/>
        </w:rPr>
        <w:t>变压器</w:t>
      </w:r>
      <w:r>
        <w:rPr>
          <w:rFonts w:hint="eastAsia"/>
          <w:sz w:val="21"/>
          <w:szCs w:val="21"/>
          <w:highlight w:val="none"/>
          <w:lang w:val="en-US" w:eastAsia="zh-CN"/>
        </w:rPr>
        <w:t>的额定容量、</w:t>
      </w:r>
      <w:r>
        <w:rPr>
          <w:rFonts w:hint="default" w:asciiTheme="minorEastAsia" w:hAnsiTheme="minorEastAsia" w:eastAsiaTheme="minorEastAsia" w:cstheme="minorEastAsia"/>
          <w:sz w:val="21"/>
          <w:szCs w:val="21"/>
          <w:highlight w:val="none"/>
          <w:lang w:bidi="ar"/>
        </w:rPr>
        <w:t>短路阻抗</w:t>
      </w:r>
      <w:r>
        <w:rPr>
          <w:rFonts w:hint="eastAsia" w:asciiTheme="minorEastAsia" w:hAnsiTheme="minorEastAsia" w:eastAsiaTheme="minorEastAsia" w:cstheme="minorEastAsia"/>
          <w:sz w:val="21"/>
          <w:szCs w:val="21"/>
          <w:highlight w:val="none"/>
          <w:lang w:eastAsia="zh-CN" w:bidi="ar"/>
        </w:rPr>
        <w:t>、</w:t>
      </w:r>
      <w:r>
        <w:rPr>
          <w:rFonts w:hint="eastAsia" w:asciiTheme="minorEastAsia" w:hAnsiTheme="minorEastAsia" w:eastAsiaTheme="minorEastAsia" w:cstheme="minorEastAsia"/>
          <w:sz w:val="21"/>
          <w:szCs w:val="21"/>
          <w:highlight w:val="none"/>
          <w:lang w:val="en-US" w:eastAsia="zh-CN" w:bidi="ar"/>
        </w:rPr>
        <w:t>网侧绕组/阀侧绕组额定电压、分接开关级数和间隔等基本参数</w:t>
      </w:r>
      <w:r>
        <w:rPr>
          <w:rFonts w:hint="default" w:ascii="Times New Roman" w:hAnsi="Times New Roman" w:eastAsia="宋体"/>
          <w:sz w:val="21"/>
          <w:szCs w:val="21"/>
          <w:highlight w:val="none"/>
          <w:lang w:val="en-US" w:eastAsia="zh-CN"/>
        </w:rPr>
        <w:t>。</w:t>
      </w:r>
    </w:p>
    <w:p w14:paraId="4C0F5F7B">
      <w:pPr>
        <w:ind w:firstLine="420"/>
        <w:rPr>
          <w:rFonts w:hint="default" w:ascii="Times New Roman" w:hAnsi="Times New Roman" w:eastAsia="宋体"/>
          <w:sz w:val="21"/>
          <w:szCs w:val="21"/>
          <w:highlight w:val="none"/>
          <w:lang w:val="en-US" w:eastAsia="zh-CN"/>
        </w:rPr>
      </w:pPr>
      <w:r>
        <w:rPr>
          <w:rFonts w:hint="eastAsia"/>
          <w:sz w:val="21"/>
          <w:szCs w:val="21"/>
          <w:highlight w:val="none"/>
          <w:lang w:val="en-US" w:eastAsia="zh-CN"/>
        </w:rPr>
        <w:t>5</w:t>
      </w:r>
      <w:r>
        <w:rPr>
          <w:rFonts w:hint="default" w:ascii="Times New Roman" w:hAnsi="Times New Roman" w:eastAsia="宋体"/>
          <w:sz w:val="21"/>
          <w:szCs w:val="21"/>
          <w:highlight w:val="none"/>
          <w:lang w:val="en-US" w:eastAsia="zh-CN"/>
        </w:rPr>
        <w:t xml:space="preserve"> </w:t>
      </w:r>
      <w:r>
        <w:rPr>
          <w:rFonts w:hint="eastAsia"/>
          <w:sz w:val="21"/>
          <w:szCs w:val="21"/>
          <w:highlight w:val="none"/>
          <w:lang w:val="en-US" w:eastAsia="zh-CN"/>
        </w:rPr>
        <w:t>报告应明确桥臂电抗器的</w:t>
      </w:r>
      <w:r>
        <w:rPr>
          <w:rFonts w:hint="default" w:ascii="Times New Roman" w:hAnsi="Times New Roman" w:cs="Times New Roman"/>
          <w:highlight w:val="none"/>
        </w:rPr>
        <w:t>电感</w:t>
      </w:r>
      <w:r>
        <w:rPr>
          <w:rFonts w:hint="eastAsia" w:ascii="Times New Roman" w:hAnsi="Times New Roman" w:cs="Times New Roman"/>
          <w:highlight w:val="none"/>
          <w:lang w:val="en-US" w:eastAsia="zh-CN"/>
        </w:rPr>
        <w:t>值</w:t>
      </w:r>
      <w:r>
        <w:rPr>
          <w:rFonts w:hint="default" w:ascii="Times New Roman" w:hAnsi="Times New Roman" w:eastAsia="宋体"/>
          <w:sz w:val="21"/>
          <w:szCs w:val="21"/>
          <w:highlight w:val="none"/>
          <w:lang w:val="en-US" w:eastAsia="zh-CN"/>
        </w:rPr>
        <w:t>。</w:t>
      </w:r>
    </w:p>
    <w:p w14:paraId="3B29A57E">
      <w:pPr>
        <w:ind w:firstLine="420"/>
        <w:rPr>
          <w:rFonts w:hint="eastAsia" w:ascii="Times New Roman" w:hAnsi="Times New Roman" w:cs="Times New Roman"/>
          <w:lang w:val="en-US" w:eastAsia="zh-CN"/>
        </w:rPr>
      </w:pPr>
      <w:r>
        <w:rPr>
          <w:rFonts w:hint="eastAsia" w:asciiTheme="minorEastAsia" w:hAnsiTheme="minorEastAsia" w:eastAsiaTheme="minorEastAsia" w:cstheme="minorEastAsia"/>
          <w:sz w:val="21"/>
          <w:szCs w:val="21"/>
          <w:highlight w:val="none"/>
          <w:lang w:val="en-US" w:eastAsia="zh-CN" w:bidi="ar"/>
        </w:rPr>
        <w:t>6 报告应给出柔性直流系统的PQ功率曲线，验证主回路</w:t>
      </w:r>
      <w:r>
        <w:rPr>
          <w:rFonts w:hint="default" w:ascii="Times New Roman" w:hAnsi="Times New Roman" w:cs="Times New Roman"/>
          <w:lang w:val="en-US" w:eastAsia="zh-CN"/>
        </w:rPr>
        <w:t>设计可满足系统运行需求</w:t>
      </w:r>
      <w:r>
        <w:rPr>
          <w:rFonts w:hint="eastAsia" w:ascii="Times New Roman" w:hAnsi="Times New Roman" w:cs="Times New Roman"/>
          <w:lang w:val="en-US" w:eastAsia="zh-CN"/>
        </w:rPr>
        <w:t>。</w:t>
      </w:r>
    </w:p>
    <w:p w14:paraId="7DA097A0">
      <w:pPr>
        <w:ind w:firstLine="420"/>
        <w:rPr>
          <w:rFonts w:hint="default" w:ascii="Times New Roman" w:hAnsi="Times New Roman" w:eastAsia="宋体" w:cs="Times New Roman"/>
          <w:sz w:val="21"/>
          <w:szCs w:val="21"/>
          <w:lang w:val="en-US" w:eastAsia="zh-CN" w:bidi="ar"/>
        </w:rPr>
      </w:pPr>
      <w:r>
        <w:rPr>
          <w:rFonts w:hint="eastAsia" w:cs="Times New Roman"/>
          <w:lang w:val="en-US" w:eastAsia="zh-CN"/>
        </w:rPr>
        <w:t>7</w:t>
      </w:r>
      <w:r>
        <w:rPr>
          <w:rFonts w:hint="eastAsia" w:ascii="Times New Roman" w:hAnsi="Times New Roman" w:cs="Times New Roman"/>
          <w:lang w:val="en-US" w:eastAsia="zh-CN"/>
        </w:rPr>
        <w:t xml:space="preserve"> 报告应开展通过关键工况仿真对主回路参数设计进行验证。</w:t>
      </w:r>
    </w:p>
    <w:p w14:paraId="0CBFE553">
      <w:pPr>
        <w:rPr>
          <w:rFonts w:hint="default"/>
          <w:color w:val="000000"/>
          <w:sz w:val="21"/>
          <w:szCs w:val="21"/>
          <w:lang w:val="en-US" w:eastAsia="zh-CN"/>
        </w:rPr>
      </w:pPr>
      <w:r>
        <w:rPr>
          <w:rFonts w:hint="default"/>
          <w:color w:val="000000"/>
          <w:sz w:val="21"/>
          <w:szCs w:val="21"/>
          <w:lang w:val="en-US" w:eastAsia="zh-CN"/>
        </w:rPr>
        <w:t>4.2.2.4 研究结论。应明确</w:t>
      </w:r>
      <w:r>
        <w:rPr>
          <w:rFonts w:hint="eastAsia"/>
          <w:color w:val="000000"/>
          <w:sz w:val="21"/>
          <w:szCs w:val="21"/>
          <w:lang w:val="en-US" w:eastAsia="zh-CN"/>
        </w:rPr>
        <w:t>柔性</w:t>
      </w:r>
      <w:r>
        <w:rPr>
          <w:rFonts w:hint="default"/>
          <w:color w:val="000000"/>
          <w:sz w:val="21"/>
          <w:szCs w:val="21"/>
          <w:lang w:val="en-US" w:eastAsia="zh-CN"/>
        </w:rPr>
        <w:t>直流</w:t>
      </w:r>
      <w:r>
        <w:rPr>
          <w:rFonts w:hint="eastAsia"/>
          <w:color w:val="000000"/>
          <w:sz w:val="21"/>
          <w:szCs w:val="21"/>
          <w:lang w:val="en-US" w:eastAsia="zh-CN"/>
        </w:rPr>
        <w:t>额定值和核心设备的基本参数要求</w:t>
      </w:r>
      <w:r>
        <w:rPr>
          <w:rFonts w:hint="default"/>
          <w:color w:val="000000"/>
          <w:sz w:val="21"/>
          <w:szCs w:val="21"/>
          <w:lang w:val="en-US" w:eastAsia="zh-CN"/>
        </w:rPr>
        <w:t>。</w:t>
      </w:r>
    </w:p>
    <w:p w14:paraId="38CA5CD7">
      <w:pPr>
        <w:pStyle w:val="3"/>
        <w:rPr>
          <w:rFonts w:hint="default"/>
          <w:lang w:val="en-US" w:eastAsia="zh-CN"/>
        </w:rPr>
      </w:pPr>
      <w:bookmarkStart w:id="223" w:name="_Toc30047"/>
      <w:bookmarkStart w:id="224" w:name="_Toc8988"/>
      <w:bookmarkStart w:id="225" w:name="_Toc6795"/>
      <w:bookmarkStart w:id="226" w:name="_Toc13378"/>
      <w:bookmarkStart w:id="227" w:name="_Toc32208"/>
      <w:bookmarkStart w:id="228" w:name="_Toc21953"/>
      <w:bookmarkStart w:id="229" w:name="_Toc25873"/>
      <w:bookmarkStart w:id="230" w:name="_Toc8632"/>
      <w:bookmarkStart w:id="231" w:name="_Toc19091"/>
      <w:bookmarkStart w:id="232" w:name="_Toc907"/>
      <w:bookmarkStart w:id="233" w:name="_Toc23926"/>
      <w:bookmarkStart w:id="234" w:name="_Toc23802"/>
      <w:bookmarkStart w:id="235" w:name="_Toc9180"/>
      <w:bookmarkStart w:id="236" w:name="_Toc4533"/>
      <w:bookmarkStart w:id="237" w:name="_Toc3133"/>
      <w:bookmarkStart w:id="238" w:name="_Toc14674"/>
      <w:r>
        <w:rPr>
          <w:rFonts w:hint="default"/>
          <w:lang w:val="en-US" w:eastAsia="zh-CN"/>
        </w:rPr>
        <w:t>4.3 暂态电流研究</w:t>
      </w:r>
      <w:bookmarkEnd w:id="223"/>
      <w:bookmarkEnd w:id="224"/>
      <w:bookmarkEnd w:id="225"/>
      <w:bookmarkEnd w:id="226"/>
      <w:bookmarkEnd w:id="227"/>
      <w:bookmarkEnd w:id="228"/>
      <w:bookmarkEnd w:id="229"/>
      <w:bookmarkEnd w:id="230"/>
      <w:bookmarkEnd w:id="231"/>
      <w:bookmarkEnd w:id="232"/>
    </w:p>
    <w:p w14:paraId="54D73329">
      <w:pPr>
        <w:outlineLvl w:val="2"/>
        <w:rPr>
          <w:rFonts w:hint="default" w:ascii="Times New Roman" w:hAnsi="Times New Roman" w:eastAsia="宋体"/>
          <w:color w:val="000000"/>
          <w:sz w:val="21"/>
          <w:szCs w:val="21"/>
          <w:lang w:val="en-US" w:eastAsia="zh-CN"/>
        </w:rPr>
      </w:pPr>
      <w:bookmarkStart w:id="239" w:name="_Toc31939"/>
      <w:r>
        <w:rPr>
          <w:rFonts w:hint="default" w:ascii="Times New Roman" w:hAnsi="Times New Roman" w:eastAsia="宋体"/>
          <w:color w:val="000000"/>
          <w:sz w:val="21"/>
          <w:szCs w:val="21"/>
          <w:lang w:val="en-US" w:eastAsia="zh-CN"/>
        </w:rPr>
        <w:t>4.3.1 研究目的。应确定换流站的主要设备以及母线的短路电流耐受要求。</w:t>
      </w:r>
      <w:bookmarkEnd w:id="239"/>
    </w:p>
    <w:p w14:paraId="7D734A4F">
      <w:pPr>
        <w:outlineLvl w:val="2"/>
        <w:rPr>
          <w:rFonts w:hint="default" w:ascii="Times New Roman" w:hAnsi="Times New Roman" w:eastAsia="宋体"/>
          <w:color w:val="000000"/>
          <w:sz w:val="21"/>
          <w:szCs w:val="21"/>
          <w:lang w:val="en-US" w:eastAsia="zh-CN"/>
        </w:rPr>
      </w:pPr>
      <w:bookmarkStart w:id="240" w:name="_Toc12084"/>
      <w:r>
        <w:rPr>
          <w:rFonts w:hint="default" w:ascii="Times New Roman" w:hAnsi="Times New Roman" w:eastAsia="宋体"/>
          <w:color w:val="000000"/>
          <w:sz w:val="21"/>
          <w:szCs w:val="21"/>
          <w:lang w:val="en-US" w:eastAsia="zh-CN"/>
        </w:rPr>
        <w:t>4.3.2 研究要点</w:t>
      </w:r>
      <w:bookmarkEnd w:id="240"/>
    </w:p>
    <w:p w14:paraId="6350F004">
      <w:pPr>
        <w:ind w:firstLine="420"/>
        <w:rPr>
          <w:rFonts w:hint="default" w:ascii="Times New Roman" w:hAnsi="Times New Roman" w:eastAsia="宋体"/>
          <w:sz w:val="21"/>
          <w:szCs w:val="21"/>
          <w:lang w:val="en-US" w:eastAsia="zh-CN"/>
        </w:rPr>
      </w:pPr>
      <w:r>
        <w:rPr>
          <w:rFonts w:hint="default" w:ascii="Times New Roman" w:hAnsi="Times New Roman" w:eastAsia="宋体"/>
          <w:sz w:val="21"/>
          <w:szCs w:val="21"/>
          <w:lang w:val="en-US" w:eastAsia="zh-CN"/>
        </w:rPr>
        <w:t>1 根据换流站的接线形式，同时考虑保护可能的拒动</w:t>
      </w:r>
      <w:r>
        <w:rPr>
          <w:rFonts w:hint="eastAsia"/>
          <w:sz w:val="21"/>
          <w:szCs w:val="21"/>
          <w:lang w:val="en-US" w:eastAsia="zh-CN"/>
        </w:rPr>
        <w:t>场景</w:t>
      </w:r>
      <w:r>
        <w:rPr>
          <w:rFonts w:hint="default" w:ascii="Times New Roman" w:hAnsi="Times New Roman" w:eastAsia="宋体"/>
          <w:sz w:val="21"/>
          <w:szCs w:val="21"/>
          <w:lang w:val="en-US" w:eastAsia="zh-CN"/>
        </w:rPr>
        <w:t>，确定换流站各设备</w:t>
      </w:r>
      <w:r>
        <w:rPr>
          <w:rFonts w:hint="eastAsia"/>
          <w:sz w:val="21"/>
          <w:szCs w:val="21"/>
          <w:lang w:val="en-US" w:eastAsia="zh-CN"/>
        </w:rPr>
        <w:t>需耐受的最大短路电流及其对应</w:t>
      </w:r>
      <w:r>
        <w:rPr>
          <w:rFonts w:hint="default" w:ascii="Times New Roman" w:hAnsi="Times New Roman" w:eastAsia="宋体"/>
          <w:sz w:val="21"/>
          <w:szCs w:val="21"/>
          <w:lang w:val="en-US" w:eastAsia="zh-CN"/>
        </w:rPr>
        <w:t>的工况。</w:t>
      </w:r>
    </w:p>
    <w:p w14:paraId="74334759">
      <w:pPr>
        <w:ind w:firstLine="420"/>
        <w:rPr>
          <w:rFonts w:hint="eastAsia"/>
          <w:lang w:val="en-US" w:eastAsia="zh-CN"/>
        </w:rPr>
      </w:pPr>
      <w:r>
        <w:rPr>
          <w:rFonts w:hint="eastAsia"/>
          <w:lang w:val="en-US" w:eastAsia="zh-CN"/>
        </w:rPr>
        <w:t>2 对于柔性直流输电系统，需确定阀本体保护的保护动作基本逻辑及其定值整定上限，确保故障期间换流阀能够及时闭锁。</w:t>
      </w:r>
    </w:p>
    <w:p w14:paraId="72EBFC34">
      <w:pPr>
        <w:outlineLvl w:val="2"/>
        <w:rPr>
          <w:rFonts w:hint="default" w:ascii="Times New Roman" w:hAnsi="Times New Roman" w:eastAsia="宋体"/>
          <w:color w:val="000000"/>
          <w:sz w:val="21"/>
          <w:szCs w:val="21"/>
          <w:lang w:val="en-US" w:eastAsia="zh-CN"/>
        </w:rPr>
      </w:pPr>
      <w:bookmarkStart w:id="241" w:name="_Toc13636"/>
      <w:r>
        <w:rPr>
          <w:rFonts w:hint="default" w:ascii="Times New Roman" w:hAnsi="Times New Roman" w:eastAsia="宋体"/>
          <w:color w:val="000000"/>
          <w:sz w:val="21"/>
          <w:szCs w:val="21"/>
          <w:lang w:val="en-US" w:eastAsia="zh-CN"/>
        </w:rPr>
        <w:t>4.3.3 研究结论。应明确各关键设备以及各母线的暂态电流要求。</w:t>
      </w:r>
      <w:bookmarkEnd w:id="241"/>
    </w:p>
    <w:bookmarkEnd w:id="233"/>
    <w:bookmarkEnd w:id="234"/>
    <w:bookmarkEnd w:id="235"/>
    <w:bookmarkEnd w:id="236"/>
    <w:p w14:paraId="721DD501">
      <w:pPr>
        <w:pStyle w:val="3"/>
        <w:rPr>
          <w:rFonts w:hint="default"/>
          <w:lang w:val="en-US" w:eastAsia="zh-CN"/>
        </w:rPr>
      </w:pPr>
      <w:bookmarkStart w:id="242" w:name="_Toc19397"/>
      <w:bookmarkStart w:id="243" w:name="_Toc16926"/>
      <w:bookmarkStart w:id="244" w:name="_Toc21463"/>
      <w:bookmarkStart w:id="245" w:name="_Toc18981"/>
      <w:bookmarkStart w:id="246" w:name="_Toc439"/>
      <w:bookmarkStart w:id="247" w:name="_Toc22263"/>
      <w:bookmarkStart w:id="248" w:name="_Toc22954"/>
      <w:bookmarkStart w:id="249" w:name="_Toc9805"/>
      <w:bookmarkStart w:id="250" w:name="_Toc5848"/>
      <w:bookmarkStart w:id="251" w:name="_Toc1143"/>
      <w:bookmarkStart w:id="252" w:name="_Toc1346"/>
      <w:bookmarkStart w:id="253" w:name="_Toc30763"/>
      <w:bookmarkStart w:id="254" w:name="_Toc1650"/>
      <w:bookmarkStart w:id="255" w:name="_Toc30895"/>
      <w:r>
        <w:rPr>
          <w:rFonts w:hint="eastAsia"/>
          <w:lang w:val="en-US" w:eastAsia="zh-CN"/>
        </w:rPr>
        <w:t xml:space="preserve">4.4 </w:t>
      </w:r>
      <w:r>
        <w:rPr>
          <w:rFonts w:hint="default"/>
          <w:lang w:val="en-US" w:eastAsia="zh-CN"/>
        </w:rPr>
        <w:t>谐波抑制研究</w:t>
      </w:r>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p>
    <w:p w14:paraId="022761C4">
      <w:pPr>
        <w:outlineLvl w:val="2"/>
        <w:rPr>
          <w:rFonts w:hint="default" w:ascii="Times New Roman" w:hAnsi="Times New Roman" w:eastAsia="宋体" w:cstheme="minorBidi"/>
          <w:color w:val="000000"/>
          <w:sz w:val="21"/>
          <w:szCs w:val="21"/>
          <w:lang w:val="en-US" w:eastAsia="zh-CN"/>
        </w:rPr>
      </w:pPr>
      <w:bookmarkStart w:id="256" w:name="_Toc14658"/>
      <w:r>
        <w:rPr>
          <w:rFonts w:hint="eastAsia" w:cstheme="minorBidi"/>
          <w:color w:val="000000"/>
          <w:sz w:val="21"/>
          <w:szCs w:val="21"/>
          <w:lang w:val="en-US" w:eastAsia="zh-CN"/>
        </w:rPr>
        <w:t>4.4</w:t>
      </w:r>
      <w:r>
        <w:rPr>
          <w:rFonts w:hint="default" w:ascii="Times New Roman" w:hAnsi="Times New Roman" w:eastAsia="宋体" w:cstheme="minorBidi"/>
          <w:color w:val="000000"/>
          <w:sz w:val="21"/>
          <w:szCs w:val="21"/>
          <w:lang w:val="en-US" w:eastAsia="zh-CN"/>
        </w:rPr>
        <w:t>.1</w:t>
      </w:r>
      <w:r>
        <w:rPr>
          <w:rFonts w:hint="eastAsia" w:ascii="Times New Roman" w:hAnsi="Times New Roman" w:eastAsia="宋体" w:cstheme="minorBidi"/>
          <w:color w:val="000000"/>
          <w:sz w:val="21"/>
          <w:szCs w:val="21"/>
          <w:lang w:val="en-US" w:eastAsia="zh-CN"/>
        </w:rPr>
        <w:t xml:space="preserve"> </w:t>
      </w:r>
      <w:r>
        <w:rPr>
          <w:rFonts w:hint="default" w:ascii="Times New Roman" w:hAnsi="Times New Roman" w:eastAsia="宋体" w:cstheme="minorBidi"/>
          <w:color w:val="000000"/>
          <w:sz w:val="21"/>
          <w:szCs w:val="21"/>
          <w:lang w:val="en-US" w:eastAsia="zh-CN"/>
        </w:rPr>
        <w:t>交流滤波器性能与定值研究</w:t>
      </w:r>
      <w:bookmarkEnd w:id="256"/>
    </w:p>
    <w:p w14:paraId="74D18F5E">
      <w:pPr>
        <w:rPr>
          <w:rFonts w:hint="default"/>
          <w:color w:val="000000"/>
          <w:sz w:val="21"/>
          <w:szCs w:val="21"/>
          <w:lang w:val="en-US" w:eastAsia="zh-CN"/>
        </w:rPr>
      </w:pPr>
      <w:r>
        <w:rPr>
          <w:rFonts w:hint="eastAsia"/>
          <w:color w:val="000000"/>
          <w:sz w:val="21"/>
          <w:szCs w:val="21"/>
          <w:lang w:val="en-US" w:eastAsia="zh-CN"/>
        </w:rPr>
        <w:t>4.4</w:t>
      </w:r>
      <w:r>
        <w:rPr>
          <w:rFonts w:hint="default"/>
          <w:color w:val="000000"/>
          <w:sz w:val="21"/>
          <w:szCs w:val="21"/>
          <w:lang w:val="en-US" w:eastAsia="zh-CN"/>
        </w:rPr>
        <w:t>.1.1 研究目的。</w:t>
      </w:r>
      <w:r>
        <w:rPr>
          <w:rFonts w:hint="eastAsia"/>
          <w:color w:val="000000"/>
          <w:sz w:val="21"/>
          <w:szCs w:val="21"/>
          <w:lang w:val="en-US" w:eastAsia="zh-CN"/>
        </w:rPr>
        <w:t>应</w:t>
      </w:r>
      <w:r>
        <w:rPr>
          <w:rFonts w:hint="default"/>
          <w:color w:val="000000"/>
          <w:sz w:val="21"/>
          <w:szCs w:val="21"/>
          <w:lang w:val="en-US" w:eastAsia="zh-CN"/>
        </w:rPr>
        <w:t>确定换流站交流侧谐波发射水平并确保满足谐波发射限值，提出换流站交流滤波器配置与投切</w:t>
      </w:r>
      <w:r>
        <w:rPr>
          <w:rFonts w:hint="eastAsia"/>
          <w:color w:val="000000"/>
          <w:sz w:val="21"/>
          <w:szCs w:val="21"/>
          <w:lang w:val="en-US" w:eastAsia="zh-CN"/>
        </w:rPr>
        <w:t>策略</w:t>
      </w:r>
      <w:r>
        <w:rPr>
          <w:rFonts w:hint="default"/>
          <w:color w:val="000000"/>
          <w:sz w:val="21"/>
          <w:szCs w:val="21"/>
          <w:lang w:val="en-US" w:eastAsia="zh-CN"/>
        </w:rPr>
        <w:t>，提出换流站交流滤波器的稳态定值要求与暂态定值要求。</w:t>
      </w:r>
    </w:p>
    <w:p w14:paraId="6BD78F7A">
      <w:pPr>
        <w:rPr>
          <w:rFonts w:hint="default"/>
          <w:color w:val="000000"/>
          <w:sz w:val="21"/>
          <w:szCs w:val="21"/>
          <w:lang w:val="en-US" w:eastAsia="zh-CN"/>
        </w:rPr>
      </w:pPr>
      <w:r>
        <w:rPr>
          <w:rFonts w:hint="eastAsia"/>
          <w:color w:val="000000"/>
          <w:sz w:val="21"/>
          <w:szCs w:val="21"/>
          <w:lang w:val="en-US" w:eastAsia="zh-CN"/>
        </w:rPr>
        <w:t>4.4</w:t>
      </w:r>
      <w:r>
        <w:rPr>
          <w:rFonts w:hint="default"/>
          <w:color w:val="000000"/>
          <w:sz w:val="21"/>
          <w:szCs w:val="21"/>
          <w:lang w:val="en-US" w:eastAsia="zh-CN"/>
        </w:rPr>
        <w:t>.1.2 研究要点</w:t>
      </w:r>
    </w:p>
    <w:p w14:paraId="6C82D52A">
      <w:pPr>
        <w:ind w:firstLine="420"/>
        <w:rPr>
          <w:rFonts w:hint="default" w:ascii="Times New Roman" w:hAnsi="Times New Roman" w:eastAsia="宋体"/>
          <w:sz w:val="21"/>
          <w:szCs w:val="21"/>
          <w:lang w:val="en-US" w:eastAsia="zh-CN"/>
        </w:rPr>
      </w:pPr>
      <w:r>
        <w:rPr>
          <w:rFonts w:hint="default" w:ascii="Times New Roman" w:hAnsi="Times New Roman" w:eastAsia="宋体"/>
          <w:sz w:val="21"/>
          <w:szCs w:val="21"/>
          <w:lang w:val="en-US" w:eastAsia="zh-CN"/>
        </w:rPr>
        <w:t>1 研究基于典型交流运行方式下全接线，N-1，N-2下的交流系统谐波阻抗，要基于近区交流系统背景谐波测试结果开展，要考虑各类设备偏差对计算的影响。</w:t>
      </w:r>
    </w:p>
    <w:p w14:paraId="3D960682">
      <w:pPr>
        <w:ind w:firstLine="420"/>
        <w:rPr>
          <w:rFonts w:hint="default" w:ascii="Times New Roman" w:hAnsi="Times New Roman" w:eastAsia="宋体"/>
          <w:sz w:val="21"/>
          <w:szCs w:val="21"/>
          <w:lang w:val="en-US" w:eastAsia="zh-CN"/>
        </w:rPr>
      </w:pPr>
      <w:r>
        <w:rPr>
          <w:rFonts w:hint="default" w:ascii="Times New Roman" w:hAnsi="Times New Roman" w:eastAsia="宋体"/>
          <w:sz w:val="21"/>
          <w:szCs w:val="21"/>
          <w:lang w:val="en-US" w:eastAsia="zh-CN"/>
        </w:rPr>
        <w:t>2 根据无功补偿研究结论，确定交流滤波器的组数和容量，并根据换流站谐波发射限值，确定交流滤波器的配置参数。</w:t>
      </w:r>
    </w:p>
    <w:p w14:paraId="1B71809E">
      <w:pPr>
        <w:ind w:firstLine="420"/>
        <w:rPr>
          <w:rFonts w:hint="default" w:ascii="Times New Roman" w:hAnsi="Times New Roman" w:eastAsia="宋体"/>
          <w:sz w:val="21"/>
          <w:szCs w:val="21"/>
          <w:lang w:val="en-US" w:eastAsia="zh-CN"/>
        </w:rPr>
      </w:pPr>
      <w:r>
        <w:rPr>
          <w:rFonts w:hint="default" w:ascii="Times New Roman" w:hAnsi="Times New Roman" w:eastAsia="宋体"/>
          <w:sz w:val="21"/>
          <w:szCs w:val="21"/>
          <w:lang w:val="en-US" w:eastAsia="zh-CN"/>
        </w:rPr>
        <w:t>3 根据近区交流系统谐波阻抗、背景谐波以及交流滤波器配置，确定换流站的交流滤波器的稳定定值要求，包括各设备的谐波电压与谐波电流频谱，同时要提出各设备用于噪声计算的谐波电流频谱。</w:t>
      </w:r>
    </w:p>
    <w:p w14:paraId="57627E63">
      <w:pPr>
        <w:ind w:firstLine="420"/>
        <w:rPr>
          <w:rFonts w:hint="default" w:ascii="Times New Roman" w:hAnsi="Times New Roman" w:eastAsia="宋体"/>
          <w:sz w:val="21"/>
          <w:szCs w:val="21"/>
          <w:lang w:val="en-US" w:eastAsia="zh-CN"/>
        </w:rPr>
      </w:pPr>
      <w:r>
        <w:rPr>
          <w:rFonts w:hint="default" w:ascii="Times New Roman" w:hAnsi="Times New Roman" w:eastAsia="宋体"/>
          <w:sz w:val="21"/>
          <w:szCs w:val="21"/>
          <w:lang w:val="en-US" w:eastAsia="zh-CN"/>
        </w:rPr>
        <w:t xml:space="preserve">4 </w:t>
      </w:r>
      <w:r>
        <w:rPr>
          <w:rFonts w:hint="eastAsia"/>
          <w:sz w:val="21"/>
          <w:szCs w:val="21"/>
          <w:lang w:val="en-US" w:eastAsia="zh-CN"/>
        </w:rPr>
        <w:t>提出</w:t>
      </w:r>
      <w:r>
        <w:rPr>
          <w:rFonts w:hint="default" w:ascii="Times New Roman" w:hAnsi="Times New Roman" w:eastAsia="宋体"/>
          <w:sz w:val="21"/>
          <w:szCs w:val="21"/>
          <w:lang w:val="en-US" w:eastAsia="zh-CN"/>
        </w:rPr>
        <w:t>交流滤波器各故障条件下的暂态定值要求。</w:t>
      </w:r>
    </w:p>
    <w:p w14:paraId="60FFBA6E">
      <w:pPr>
        <w:rPr>
          <w:rFonts w:hint="default"/>
          <w:color w:val="000000"/>
          <w:sz w:val="21"/>
          <w:szCs w:val="21"/>
          <w:lang w:val="en-US" w:eastAsia="zh-CN"/>
        </w:rPr>
      </w:pPr>
      <w:r>
        <w:rPr>
          <w:rFonts w:hint="eastAsia"/>
          <w:color w:val="000000"/>
          <w:sz w:val="21"/>
          <w:szCs w:val="21"/>
          <w:lang w:val="en-US" w:eastAsia="zh-CN"/>
        </w:rPr>
        <w:t>4.4</w:t>
      </w:r>
      <w:r>
        <w:rPr>
          <w:rFonts w:hint="default"/>
          <w:color w:val="000000"/>
          <w:sz w:val="21"/>
          <w:szCs w:val="21"/>
          <w:lang w:val="en-US" w:eastAsia="zh-CN"/>
        </w:rPr>
        <w:t>.1.3 研究结论。应明确直流输电系统交流滤波器的配置及定值要求。</w:t>
      </w:r>
    </w:p>
    <w:p w14:paraId="2E40F77E">
      <w:pPr>
        <w:outlineLvl w:val="2"/>
        <w:rPr>
          <w:rFonts w:hint="default" w:ascii="Times New Roman" w:hAnsi="Times New Roman" w:eastAsia="宋体" w:cstheme="minorBidi"/>
          <w:color w:val="000000"/>
          <w:sz w:val="21"/>
          <w:szCs w:val="21"/>
          <w:lang w:val="en-US" w:eastAsia="zh-CN"/>
        </w:rPr>
      </w:pPr>
      <w:bookmarkStart w:id="257" w:name="_Toc27279"/>
      <w:r>
        <w:rPr>
          <w:rFonts w:hint="eastAsia" w:cstheme="minorBidi"/>
          <w:color w:val="000000"/>
          <w:sz w:val="21"/>
          <w:szCs w:val="21"/>
          <w:lang w:val="en-US" w:eastAsia="zh-CN"/>
        </w:rPr>
        <w:t>4.4</w:t>
      </w:r>
      <w:r>
        <w:rPr>
          <w:rFonts w:hint="default" w:ascii="Times New Roman" w:hAnsi="Times New Roman" w:eastAsia="宋体" w:cstheme="minorBidi"/>
          <w:color w:val="000000"/>
          <w:sz w:val="21"/>
          <w:szCs w:val="21"/>
          <w:lang w:val="en-US" w:eastAsia="zh-CN"/>
        </w:rPr>
        <w:t>.2</w:t>
      </w:r>
      <w:r>
        <w:rPr>
          <w:rFonts w:hint="eastAsia" w:ascii="Times New Roman" w:hAnsi="Times New Roman" w:eastAsia="宋体" w:cstheme="minorBidi"/>
          <w:color w:val="000000"/>
          <w:sz w:val="21"/>
          <w:szCs w:val="21"/>
          <w:lang w:val="en-US" w:eastAsia="zh-CN"/>
        </w:rPr>
        <w:t xml:space="preserve"> </w:t>
      </w:r>
      <w:r>
        <w:rPr>
          <w:rFonts w:hint="default" w:ascii="Times New Roman" w:hAnsi="Times New Roman" w:eastAsia="宋体" w:cstheme="minorBidi"/>
          <w:color w:val="000000"/>
          <w:sz w:val="21"/>
          <w:szCs w:val="21"/>
          <w:lang w:val="en-US" w:eastAsia="zh-CN"/>
        </w:rPr>
        <w:t>直流滤波器性能与定值研究</w:t>
      </w:r>
      <w:bookmarkEnd w:id="257"/>
    </w:p>
    <w:p w14:paraId="7FFCDC62">
      <w:pPr>
        <w:rPr>
          <w:rFonts w:hint="default"/>
          <w:color w:val="000000"/>
          <w:sz w:val="21"/>
          <w:szCs w:val="21"/>
          <w:lang w:val="en-US" w:eastAsia="zh-CN"/>
        </w:rPr>
      </w:pPr>
      <w:r>
        <w:rPr>
          <w:rFonts w:hint="eastAsia"/>
          <w:color w:val="000000"/>
          <w:sz w:val="21"/>
          <w:szCs w:val="21"/>
          <w:lang w:val="en-US" w:eastAsia="zh-CN"/>
        </w:rPr>
        <w:t>4.4</w:t>
      </w:r>
      <w:r>
        <w:rPr>
          <w:rFonts w:hint="default"/>
          <w:color w:val="000000"/>
          <w:sz w:val="21"/>
          <w:szCs w:val="21"/>
          <w:lang w:val="en-US" w:eastAsia="zh-CN"/>
        </w:rPr>
        <w:t>.2.1 研究目的。</w:t>
      </w:r>
      <w:r>
        <w:rPr>
          <w:rFonts w:hint="eastAsia"/>
          <w:color w:val="000000"/>
          <w:sz w:val="21"/>
          <w:szCs w:val="21"/>
          <w:lang w:val="en-US" w:eastAsia="zh-CN"/>
        </w:rPr>
        <w:t>应</w:t>
      </w:r>
      <w:r>
        <w:rPr>
          <w:rFonts w:hint="default"/>
          <w:color w:val="000000"/>
          <w:sz w:val="21"/>
          <w:szCs w:val="21"/>
          <w:lang w:val="en-US" w:eastAsia="zh-CN"/>
        </w:rPr>
        <w:t>确定换流站直流侧谐波水平并确保满足</w:t>
      </w:r>
      <w:r>
        <w:rPr>
          <w:rFonts w:hint="eastAsia"/>
          <w:color w:val="000000"/>
          <w:sz w:val="21"/>
          <w:szCs w:val="21"/>
          <w:lang w:val="en-US" w:eastAsia="zh-CN"/>
        </w:rPr>
        <w:t>直流线路电压限值或</w:t>
      </w:r>
      <w:r>
        <w:rPr>
          <w:rFonts w:hint="default"/>
          <w:color w:val="000000"/>
          <w:sz w:val="21"/>
          <w:szCs w:val="21"/>
          <w:lang w:val="en-US" w:eastAsia="zh-CN"/>
        </w:rPr>
        <w:t>直流线路等效干扰电流限值，提出换流站直流滤波器配置，提出换流站直流滤波器的稳态定值要求与暂态定值要求。</w:t>
      </w:r>
    </w:p>
    <w:p w14:paraId="3D094B87">
      <w:pPr>
        <w:rPr>
          <w:rFonts w:hint="default"/>
          <w:color w:val="000000"/>
          <w:sz w:val="21"/>
          <w:szCs w:val="21"/>
          <w:lang w:val="en-US" w:eastAsia="zh-CN"/>
        </w:rPr>
      </w:pPr>
      <w:r>
        <w:rPr>
          <w:rFonts w:hint="eastAsia"/>
          <w:color w:val="000000"/>
          <w:sz w:val="21"/>
          <w:szCs w:val="21"/>
          <w:lang w:val="en-US" w:eastAsia="zh-CN"/>
        </w:rPr>
        <w:t>4.4</w:t>
      </w:r>
      <w:r>
        <w:rPr>
          <w:rFonts w:hint="default"/>
          <w:color w:val="000000"/>
          <w:sz w:val="21"/>
          <w:szCs w:val="21"/>
          <w:lang w:val="en-US" w:eastAsia="zh-CN"/>
        </w:rPr>
        <w:t>.2.2 研究要点</w:t>
      </w:r>
    </w:p>
    <w:p w14:paraId="003B0FDF">
      <w:pPr>
        <w:ind w:firstLine="420"/>
        <w:rPr>
          <w:rFonts w:hint="default" w:ascii="Times New Roman" w:hAnsi="Times New Roman" w:eastAsia="宋体"/>
          <w:sz w:val="21"/>
          <w:szCs w:val="21"/>
          <w:lang w:val="en-US" w:eastAsia="zh-CN"/>
        </w:rPr>
      </w:pPr>
      <w:r>
        <w:rPr>
          <w:rFonts w:hint="default" w:ascii="Times New Roman" w:hAnsi="Times New Roman" w:eastAsia="宋体"/>
          <w:sz w:val="21"/>
          <w:szCs w:val="21"/>
          <w:lang w:val="en-US" w:eastAsia="zh-CN"/>
        </w:rPr>
        <w:t>1 研究要考虑直流输电系统不同运行方式，需考虑近区交流系统背景谐波，同时要考虑各类设备及线路设计偏差带来的影响。</w:t>
      </w:r>
    </w:p>
    <w:p w14:paraId="3D08B5F8">
      <w:pPr>
        <w:ind w:firstLine="420"/>
        <w:rPr>
          <w:rFonts w:hint="default" w:ascii="Times New Roman" w:hAnsi="Times New Roman" w:eastAsia="宋体"/>
          <w:sz w:val="21"/>
          <w:szCs w:val="21"/>
          <w:lang w:val="en-US" w:eastAsia="zh-CN"/>
        </w:rPr>
      </w:pPr>
      <w:r>
        <w:rPr>
          <w:rFonts w:hint="default" w:ascii="Times New Roman" w:hAnsi="Times New Roman" w:eastAsia="宋体"/>
          <w:sz w:val="21"/>
          <w:szCs w:val="21"/>
          <w:lang w:val="en-US" w:eastAsia="zh-CN"/>
        </w:rPr>
        <w:t>2 根据换流站谐波发射及直流线路等效干扰电流水平，确定直流滤波器的配置参数。</w:t>
      </w:r>
    </w:p>
    <w:p w14:paraId="6CBCB1F3">
      <w:pPr>
        <w:ind w:firstLine="420"/>
        <w:rPr>
          <w:rFonts w:hint="default" w:ascii="Times New Roman" w:hAnsi="Times New Roman" w:eastAsia="宋体"/>
          <w:sz w:val="21"/>
          <w:szCs w:val="21"/>
          <w:lang w:val="en-US" w:eastAsia="zh-CN"/>
        </w:rPr>
      </w:pPr>
      <w:r>
        <w:rPr>
          <w:rFonts w:hint="default" w:ascii="Times New Roman" w:hAnsi="Times New Roman" w:eastAsia="宋体"/>
          <w:sz w:val="21"/>
          <w:szCs w:val="21"/>
          <w:lang w:val="en-US" w:eastAsia="zh-CN"/>
        </w:rPr>
        <w:t>3 确定换流站的直流滤波器的稳定定值要求，包括各设备的谐波电压与谐波电流频谱，同时要提出各设备用于噪声计算的谐波电流频谱。</w:t>
      </w:r>
    </w:p>
    <w:p w14:paraId="04B3A15C">
      <w:pPr>
        <w:ind w:firstLine="420"/>
        <w:rPr>
          <w:rFonts w:hint="default" w:ascii="Times New Roman" w:hAnsi="Times New Roman" w:eastAsia="宋体"/>
          <w:sz w:val="21"/>
          <w:szCs w:val="21"/>
          <w:lang w:val="en-US" w:eastAsia="zh-CN"/>
        </w:rPr>
      </w:pPr>
      <w:r>
        <w:rPr>
          <w:rFonts w:hint="default" w:ascii="Times New Roman" w:hAnsi="Times New Roman" w:eastAsia="宋体"/>
          <w:sz w:val="21"/>
          <w:szCs w:val="21"/>
          <w:lang w:val="en-US" w:eastAsia="zh-CN"/>
        </w:rPr>
        <w:t xml:space="preserve">4 </w:t>
      </w:r>
      <w:r>
        <w:rPr>
          <w:rFonts w:hint="eastAsia"/>
          <w:sz w:val="21"/>
          <w:szCs w:val="21"/>
          <w:lang w:val="en-US" w:eastAsia="zh-CN"/>
        </w:rPr>
        <w:t>提出</w:t>
      </w:r>
      <w:r>
        <w:rPr>
          <w:rFonts w:hint="default" w:ascii="Times New Roman" w:hAnsi="Times New Roman" w:eastAsia="宋体"/>
          <w:sz w:val="21"/>
          <w:szCs w:val="21"/>
          <w:lang w:val="en-US" w:eastAsia="zh-CN"/>
        </w:rPr>
        <w:t>直流滤波器各故障条件下的暂态定值要求。</w:t>
      </w:r>
    </w:p>
    <w:p w14:paraId="455F1E3C">
      <w:pPr>
        <w:rPr>
          <w:rFonts w:hint="default"/>
          <w:color w:val="000000"/>
          <w:szCs w:val="21"/>
          <w:lang w:val="en-US" w:eastAsia="zh-CN"/>
        </w:rPr>
      </w:pPr>
      <w:r>
        <w:rPr>
          <w:rFonts w:hint="eastAsia"/>
          <w:color w:val="000000"/>
          <w:szCs w:val="21"/>
          <w:lang w:val="en-US" w:eastAsia="zh-CN"/>
        </w:rPr>
        <w:t>4.4</w:t>
      </w:r>
      <w:r>
        <w:rPr>
          <w:rFonts w:hint="default"/>
          <w:color w:val="000000"/>
          <w:szCs w:val="21"/>
          <w:lang w:val="en-US" w:eastAsia="zh-CN"/>
        </w:rPr>
        <w:t>.2.3 研究结论。应明确直流输电系统直流滤波器的配置及定值要求。</w:t>
      </w:r>
    </w:p>
    <w:p w14:paraId="26608CF9">
      <w:pPr>
        <w:pStyle w:val="3"/>
        <w:rPr>
          <w:rFonts w:hint="default"/>
          <w:lang w:val="en-US" w:eastAsia="zh-CN"/>
        </w:rPr>
      </w:pPr>
      <w:bookmarkStart w:id="258" w:name="_Toc32332"/>
      <w:bookmarkStart w:id="259" w:name="_Toc1446"/>
      <w:bookmarkStart w:id="260" w:name="_Toc2508"/>
      <w:bookmarkStart w:id="261" w:name="_Toc31830"/>
      <w:bookmarkStart w:id="262" w:name="_Toc29002"/>
      <w:bookmarkStart w:id="263" w:name="_Toc31178"/>
      <w:bookmarkStart w:id="264" w:name="_Toc19826"/>
      <w:bookmarkStart w:id="265" w:name="_Toc22019"/>
      <w:bookmarkStart w:id="266" w:name="_Toc29098"/>
      <w:bookmarkStart w:id="267" w:name="_Toc510"/>
      <w:bookmarkStart w:id="268" w:name="_Toc16998"/>
      <w:bookmarkStart w:id="269" w:name="_Toc27225"/>
      <w:bookmarkStart w:id="270" w:name="_Toc17432"/>
      <w:bookmarkStart w:id="271" w:name="_Toc30237"/>
      <w:r>
        <w:rPr>
          <w:rFonts w:hint="eastAsia"/>
          <w:lang w:val="en-US" w:eastAsia="zh-CN"/>
        </w:rPr>
        <w:t>4.5</w:t>
      </w:r>
      <w:r>
        <w:rPr>
          <w:rFonts w:hint="default"/>
          <w:lang w:val="en-US" w:eastAsia="zh-CN"/>
        </w:rPr>
        <w:t xml:space="preserve"> 绝缘配合相关研究</w:t>
      </w:r>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p>
    <w:p w14:paraId="6CFDCE8C">
      <w:pPr>
        <w:outlineLvl w:val="2"/>
        <w:rPr>
          <w:rFonts w:hint="default" w:ascii="Times New Roman" w:hAnsi="Times New Roman" w:eastAsia="宋体"/>
          <w:color w:val="000000"/>
          <w:szCs w:val="21"/>
          <w:lang w:val="en-US" w:eastAsia="zh-CN"/>
        </w:rPr>
      </w:pPr>
      <w:bookmarkStart w:id="272" w:name="_Toc25504"/>
      <w:r>
        <w:rPr>
          <w:rFonts w:hint="eastAsia"/>
          <w:color w:val="000000"/>
          <w:szCs w:val="21"/>
          <w:lang w:val="en-US" w:eastAsia="zh-CN"/>
        </w:rPr>
        <w:t>4.5</w:t>
      </w:r>
      <w:r>
        <w:rPr>
          <w:rFonts w:hint="default" w:ascii="Times New Roman" w:hAnsi="Times New Roman" w:eastAsia="宋体"/>
          <w:color w:val="000000"/>
          <w:szCs w:val="21"/>
          <w:lang w:val="en-US" w:eastAsia="zh-CN"/>
        </w:rPr>
        <w:t>.1 过电压与绝缘配合研究</w:t>
      </w:r>
      <w:bookmarkEnd w:id="272"/>
    </w:p>
    <w:p w14:paraId="0CFE746C">
      <w:pPr>
        <w:rPr>
          <w:rFonts w:hint="default"/>
          <w:color w:val="000000"/>
          <w:sz w:val="21"/>
          <w:szCs w:val="21"/>
          <w:lang w:val="en-US" w:eastAsia="zh-CN"/>
        </w:rPr>
      </w:pPr>
      <w:r>
        <w:rPr>
          <w:rFonts w:hint="eastAsia"/>
          <w:color w:val="000000"/>
          <w:sz w:val="21"/>
          <w:szCs w:val="21"/>
          <w:lang w:val="en-US" w:eastAsia="zh-CN"/>
        </w:rPr>
        <w:t>4.5</w:t>
      </w:r>
      <w:r>
        <w:rPr>
          <w:rFonts w:hint="default"/>
          <w:color w:val="000000"/>
          <w:sz w:val="21"/>
          <w:szCs w:val="21"/>
          <w:lang w:val="en-US" w:eastAsia="zh-CN"/>
        </w:rPr>
        <w:t>.1.1</w:t>
      </w:r>
      <w:r>
        <w:rPr>
          <w:rFonts w:hint="eastAsia"/>
          <w:color w:val="000000"/>
          <w:sz w:val="21"/>
          <w:szCs w:val="21"/>
          <w:lang w:val="en-US" w:eastAsia="zh-CN"/>
        </w:rPr>
        <w:t xml:space="preserve"> </w:t>
      </w:r>
      <w:r>
        <w:rPr>
          <w:rFonts w:hint="default"/>
          <w:color w:val="000000"/>
          <w:sz w:val="21"/>
          <w:szCs w:val="21"/>
          <w:lang w:val="en-US" w:eastAsia="zh-CN"/>
        </w:rPr>
        <w:t>研究目的。应确定换流站的避雷器配置方案及参数要求，确定各设备及母线的绝缘水平要求。</w:t>
      </w:r>
    </w:p>
    <w:p w14:paraId="08FA5559">
      <w:pPr>
        <w:rPr>
          <w:rFonts w:hint="default"/>
          <w:color w:val="000000"/>
          <w:sz w:val="21"/>
          <w:szCs w:val="21"/>
          <w:lang w:val="en-US" w:eastAsia="zh-CN"/>
        </w:rPr>
      </w:pPr>
      <w:r>
        <w:rPr>
          <w:rFonts w:hint="eastAsia"/>
          <w:color w:val="000000"/>
          <w:sz w:val="21"/>
          <w:szCs w:val="21"/>
          <w:lang w:val="en-US" w:eastAsia="zh-CN"/>
        </w:rPr>
        <w:t>4.5</w:t>
      </w:r>
      <w:r>
        <w:rPr>
          <w:rFonts w:hint="default"/>
          <w:color w:val="000000"/>
          <w:sz w:val="21"/>
          <w:szCs w:val="21"/>
          <w:lang w:val="en-US" w:eastAsia="zh-CN"/>
        </w:rPr>
        <w:t>.1.2 研究要点</w:t>
      </w:r>
    </w:p>
    <w:p w14:paraId="6542F28E">
      <w:pPr>
        <w:ind w:firstLine="420"/>
        <w:rPr>
          <w:rFonts w:hint="default" w:ascii="Times New Roman" w:hAnsi="Times New Roman" w:eastAsia="宋体"/>
          <w:sz w:val="21"/>
          <w:szCs w:val="21"/>
          <w:lang w:val="en-US" w:eastAsia="zh-CN"/>
        </w:rPr>
      </w:pPr>
      <w:r>
        <w:rPr>
          <w:rFonts w:hint="default" w:ascii="Times New Roman" w:hAnsi="Times New Roman" w:eastAsia="宋体"/>
          <w:sz w:val="21"/>
          <w:szCs w:val="21"/>
          <w:lang w:val="en-US" w:eastAsia="zh-CN"/>
        </w:rPr>
        <w:t>1 常规直流的相关研究可参考《GB∕T 311.3-2017 绝缘配合 第3部分：高压直流换流站绝缘配合程序》开展。</w:t>
      </w:r>
    </w:p>
    <w:p w14:paraId="037B8469">
      <w:pPr>
        <w:ind w:firstLine="420"/>
        <w:rPr>
          <w:rFonts w:hint="default" w:ascii="Times New Roman" w:hAnsi="Times New Roman" w:eastAsia="宋体"/>
          <w:sz w:val="21"/>
          <w:szCs w:val="21"/>
          <w:lang w:val="en-US" w:eastAsia="zh-CN"/>
        </w:rPr>
      </w:pPr>
      <w:r>
        <w:rPr>
          <w:rFonts w:hint="default" w:ascii="Times New Roman" w:hAnsi="Times New Roman" w:eastAsia="宋体"/>
          <w:sz w:val="21"/>
          <w:szCs w:val="21"/>
          <w:lang w:val="en-US" w:eastAsia="zh-CN"/>
        </w:rPr>
        <w:t>2 柔性直流的相关研究可参考《GB/T36496-2018 柔性直流绝缘配合导则》开展。</w:t>
      </w:r>
    </w:p>
    <w:p w14:paraId="2A7E5FF4">
      <w:pPr>
        <w:rPr>
          <w:rFonts w:hint="default"/>
          <w:color w:val="000000"/>
          <w:sz w:val="21"/>
          <w:szCs w:val="21"/>
          <w:lang w:val="en-US" w:eastAsia="zh-CN"/>
        </w:rPr>
      </w:pPr>
      <w:r>
        <w:rPr>
          <w:rFonts w:hint="eastAsia"/>
          <w:color w:val="000000"/>
          <w:sz w:val="21"/>
          <w:szCs w:val="21"/>
          <w:lang w:val="en-US" w:eastAsia="zh-CN"/>
        </w:rPr>
        <w:t>4.5</w:t>
      </w:r>
      <w:r>
        <w:rPr>
          <w:rFonts w:hint="default"/>
          <w:color w:val="000000"/>
          <w:sz w:val="21"/>
          <w:szCs w:val="21"/>
          <w:lang w:val="en-US" w:eastAsia="zh-CN"/>
        </w:rPr>
        <w:t>.1.3 研究结论。应明确换流站避雷器配置方案及参数要求，形成各关键设备以及各母线的绝缘水平要求。</w:t>
      </w:r>
    </w:p>
    <w:p w14:paraId="1EB6866C">
      <w:pPr>
        <w:outlineLvl w:val="2"/>
        <w:rPr>
          <w:rFonts w:hint="default" w:ascii="Times New Roman" w:hAnsi="Times New Roman" w:eastAsia="宋体"/>
          <w:color w:val="000000"/>
          <w:sz w:val="21"/>
          <w:szCs w:val="21"/>
          <w:lang w:val="en-US" w:eastAsia="zh-CN"/>
        </w:rPr>
      </w:pPr>
      <w:bookmarkStart w:id="273" w:name="_Toc13753"/>
      <w:r>
        <w:rPr>
          <w:rFonts w:hint="eastAsia"/>
          <w:color w:val="000000"/>
          <w:sz w:val="21"/>
          <w:szCs w:val="21"/>
          <w:lang w:val="en-US" w:eastAsia="zh-CN"/>
        </w:rPr>
        <w:t>4.5</w:t>
      </w:r>
      <w:r>
        <w:rPr>
          <w:rFonts w:hint="default" w:ascii="Times New Roman" w:hAnsi="Times New Roman" w:eastAsia="宋体"/>
          <w:color w:val="000000"/>
          <w:sz w:val="21"/>
          <w:szCs w:val="21"/>
          <w:lang w:val="en-US" w:eastAsia="zh-CN"/>
        </w:rPr>
        <w:t xml:space="preserve">.2 </w:t>
      </w:r>
      <w:r>
        <w:rPr>
          <w:rFonts w:hint="default" w:ascii="Times New Roman" w:hAnsi="Times New Roman" w:eastAsia="宋体" w:cstheme="minorBidi"/>
          <w:color w:val="000000"/>
          <w:sz w:val="21"/>
          <w:szCs w:val="21"/>
          <w:lang w:val="en-US" w:eastAsia="zh-CN"/>
        </w:rPr>
        <w:t>接地极线路过电压与绝缘配合研究</w:t>
      </w:r>
      <w:bookmarkEnd w:id="273"/>
    </w:p>
    <w:p w14:paraId="6FF402D1">
      <w:pPr>
        <w:rPr>
          <w:rFonts w:hint="default"/>
          <w:color w:val="000000"/>
          <w:sz w:val="21"/>
          <w:szCs w:val="21"/>
          <w:lang w:val="en-US" w:eastAsia="zh-CN"/>
        </w:rPr>
      </w:pPr>
      <w:r>
        <w:rPr>
          <w:rFonts w:hint="eastAsia"/>
          <w:color w:val="000000"/>
          <w:sz w:val="21"/>
          <w:szCs w:val="21"/>
          <w:lang w:val="en-US" w:eastAsia="zh-CN"/>
        </w:rPr>
        <w:t>4.5</w:t>
      </w:r>
      <w:r>
        <w:rPr>
          <w:rFonts w:hint="default"/>
          <w:color w:val="000000"/>
          <w:sz w:val="21"/>
          <w:szCs w:val="21"/>
          <w:lang w:val="en-US" w:eastAsia="zh-CN"/>
        </w:rPr>
        <w:t>.2.1 研究目的。应确定接地极线路沿线的操作保护水平，为接地极线路设计提供输入。</w:t>
      </w:r>
    </w:p>
    <w:p w14:paraId="72FC9771">
      <w:pPr>
        <w:rPr>
          <w:rFonts w:hint="default"/>
          <w:color w:val="000000"/>
          <w:sz w:val="21"/>
          <w:szCs w:val="21"/>
          <w:lang w:val="en-US" w:eastAsia="zh-CN"/>
        </w:rPr>
      </w:pPr>
      <w:r>
        <w:rPr>
          <w:rFonts w:hint="eastAsia"/>
          <w:color w:val="000000"/>
          <w:sz w:val="21"/>
          <w:szCs w:val="21"/>
          <w:lang w:val="en-US" w:eastAsia="zh-CN"/>
        </w:rPr>
        <w:t>4.5</w:t>
      </w:r>
      <w:r>
        <w:rPr>
          <w:rFonts w:hint="default"/>
          <w:color w:val="000000"/>
          <w:sz w:val="21"/>
          <w:szCs w:val="21"/>
          <w:lang w:val="en-US" w:eastAsia="zh-CN"/>
        </w:rPr>
        <w:t>.2.2 研究要点</w:t>
      </w:r>
    </w:p>
    <w:p w14:paraId="3F76A0C4">
      <w:pPr>
        <w:ind w:firstLine="420"/>
        <w:rPr>
          <w:rFonts w:hint="default" w:ascii="Times New Roman" w:hAnsi="Times New Roman" w:eastAsia="宋体"/>
          <w:sz w:val="21"/>
          <w:szCs w:val="21"/>
          <w:lang w:val="en-US" w:eastAsia="zh-CN"/>
        </w:rPr>
      </w:pPr>
      <w:r>
        <w:rPr>
          <w:rFonts w:hint="default" w:ascii="Times New Roman" w:hAnsi="Times New Roman" w:eastAsia="宋体"/>
          <w:sz w:val="21"/>
          <w:szCs w:val="21"/>
          <w:lang w:val="en-US" w:eastAsia="zh-CN"/>
        </w:rPr>
        <w:t>1 常规直流的相关研究可参考《GB∕T 311.3-2017 绝缘配合 第3部分：高压直流换流站绝缘配合程序》开展。</w:t>
      </w:r>
    </w:p>
    <w:p w14:paraId="4689CF5E">
      <w:pPr>
        <w:ind w:firstLine="420"/>
        <w:rPr>
          <w:rFonts w:hint="default" w:ascii="Times New Roman" w:hAnsi="Times New Roman" w:eastAsia="宋体"/>
          <w:sz w:val="21"/>
          <w:szCs w:val="21"/>
          <w:lang w:val="en-US" w:eastAsia="zh-CN"/>
        </w:rPr>
      </w:pPr>
      <w:r>
        <w:rPr>
          <w:rFonts w:hint="default" w:ascii="Times New Roman" w:hAnsi="Times New Roman" w:eastAsia="宋体"/>
          <w:sz w:val="21"/>
          <w:szCs w:val="21"/>
          <w:lang w:val="en-US" w:eastAsia="zh-CN"/>
        </w:rPr>
        <w:t>2 柔性直流的相关研究可参考《GB/T36496-2018 柔性直流绝缘配合导则》开展。</w:t>
      </w:r>
    </w:p>
    <w:p w14:paraId="726174CF">
      <w:pPr>
        <w:rPr>
          <w:rFonts w:hint="default"/>
          <w:color w:val="000000"/>
          <w:sz w:val="21"/>
          <w:szCs w:val="21"/>
          <w:lang w:val="en-US" w:eastAsia="zh-CN"/>
        </w:rPr>
      </w:pPr>
      <w:r>
        <w:rPr>
          <w:rFonts w:hint="eastAsia"/>
          <w:color w:val="000000"/>
          <w:sz w:val="21"/>
          <w:szCs w:val="21"/>
          <w:lang w:val="en-US" w:eastAsia="zh-CN"/>
        </w:rPr>
        <w:t>4.5</w:t>
      </w:r>
      <w:r>
        <w:rPr>
          <w:rFonts w:hint="default"/>
          <w:color w:val="000000"/>
          <w:sz w:val="21"/>
          <w:szCs w:val="21"/>
          <w:lang w:val="en-US" w:eastAsia="zh-CN"/>
        </w:rPr>
        <w:t>.2.3 研究结论。应明确接地极线路沿线的操作保护水平要求。</w:t>
      </w:r>
    </w:p>
    <w:p w14:paraId="2C9063CC">
      <w:pPr>
        <w:outlineLvl w:val="2"/>
        <w:rPr>
          <w:rFonts w:hint="default" w:ascii="Times New Roman" w:hAnsi="Times New Roman" w:eastAsia="宋体"/>
          <w:color w:val="000000"/>
          <w:sz w:val="21"/>
          <w:szCs w:val="21"/>
          <w:lang w:val="en-US" w:eastAsia="zh-CN"/>
        </w:rPr>
      </w:pPr>
      <w:bookmarkStart w:id="274" w:name="_Toc19985"/>
      <w:r>
        <w:rPr>
          <w:rFonts w:hint="eastAsia"/>
          <w:color w:val="000000"/>
          <w:sz w:val="21"/>
          <w:szCs w:val="21"/>
          <w:lang w:val="en-US" w:eastAsia="zh-CN"/>
        </w:rPr>
        <w:t>4.5</w:t>
      </w:r>
      <w:r>
        <w:rPr>
          <w:rFonts w:hint="default" w:ascii="Times New Roman" w:hAnsi="Times New Roman" w:eastAsia="宋体"/>
          <w:color w:val="000000"/>
          <w:sz w:val="21"/>
          <w:szCs w:val="21"/>
          <w:lang w:val="en-US" w:eastAsia="zh-CN"/>
        </w:rPr>
        <w:t>.3 空气净距研究</w:t>
      </w:r>
      <w:bookmarkEnd w:id="274"/>
    </w:p>
    <w:p w14:paraId="78C551A7">
      <w:pPr>
        <w:rPr>
          <w:rFonts w:hint="default"/>
          <w:color w:val="000000"/>
          <w:sz w:val="21"/>
          <w:szCs w:val="21"/>
          <w:lang w:val="en-US" w:eastAsia="zh-CN"/>
        </w:rPr>
      </w:pPr>
      <w:r>
        <w:rPr>
          <w:rFonts w:hint="eastAsia"/>
          <w:color w:val="000000"/>
          <w:sz w:val="21"/>
          <w:szCs w:val="21"/>
          <w:lang w:val="en-US" w:eastAsia="zh-CN"/>
        </w:rPr>
        <w:t>4.5</w:t>
      </w:r>
      <w:r>
        <w:rPr>
          <w:rFonts w:hint="default"/>
          <w:color w:val="000000"/>
          <w:sz w:val="21"/>
          <w:szCs w:val="21"/>
          <w:lang w:val="en-US" w:eastAsia="zh-CN"/>
        </w:rPr>
        <w:t>.3.1</w:t>
      </w:r>
      <w:r>
        <w:rPr>
          <w:rFonts w:hint="eastAsia"/>
          <w:color w:val="000000"/>
          <w:sz w:val="21"/>
          <w:szCs w:val="21"/>
          <w:lang w:val="en-US" w:eastAsia="zh-CN"/>
        </w:rPr>
        <w:t xml:space="preserve"> </w:t>
      </w:r>
      <w:r>
        <w:rPr>
          <w:rFonts w:hint="default"/>
          <w:color w:val="000000"/>
          <w:sz w:val="21"/>
          <w:szCs w:val="21"/>
          <w:lang w:val="en-US" w:eastAsia="zh-CN"/>
        </w:rPr>
        <w:t>研究目的。应确定换流站内阀厅、其他户内场、户外场的空气净距要求，为换流站电气设计提供依据。</w:t>
      </w:r>
    </w:p>
    <w:p w14:paraId="38B9C058">
      <w:pPr>
        <w:rPr>
          <w:rFonts w:hint="default"/>
          <w:color w:val="000000"/>
          <w:sz w:val="21"/>
          <w:szCs w:val="21"/>
          <w:lang w:val="en-US" w:eastAsia="zh-CN"/>
        </w:rPr>
      </w:pPr>
      <w:r>
        <w:rPr>
          <w:rFonts w:hint="eastAsia"/>
          <w:color w:val="000000"/>
          <w:sz w:val="21"/>
          <w:szCs w:val="21"/>
          <w:lang w:val="en-US" w:eastAsia="zh-CN"/>
        </w:rPr>
        <w:t>4.5</w:t>
      </w:r>
      <w:r>
        <w:rPr>
          <w:rFonts w:hint="default"/>
          <w:color w:val="000000"/>
          <w:sz w:val="21"/>
          <w:szCs w:val="21"/>
          <w:lang w:val="en-US" w:eastAsia="zh-CN"/>
        </w:rPr>
        <w:t>.3.2 研究要点</w:t>
      </w:r>
    </w:p>
    <w:p w14:paraId="6BC71EAB">
      <w:pPr>
        <w:ind w:firstLine="420"/>
        <w:rPr>
          <w:rFonts w:hint="default" w:ascii="Times New Roman" w:hAnsi="Times New Roman" w:eastAsia="宋体"/>
          <w:sz w:val="21"/>
          <w:szCs w:val="21"/>
          <w:lang w:val="en-US" w:eastAsia="zh-CN"/>
        </w:rPr>
      </w:pPr>
      <w:r>
        <w:rPr>
          <w:rFonts w:hint="default" w:ascii="Times New Roman" w:hAnsi="Times New Roman" w:eastAsia="宋体"/>
          <w:sz w:val="21"/>
          <w:szCs w:val="21"/>
          <w:lang w:val="en-US" w:eastAsia="zh-CN"/>
        </w:rPr>
        <w:t>1 阀厅内空气净距的计算推荐采用</w:t>
      </w:r>
      <w:r>
        <w:rPr>
          <w:rFonts w:hint="eastAsia"/>
          <w:sz w:val="21"/>
          <w:szCs w:val="21"/>
          <w:lang w:val="en-US" w:eastAsia="zh-CN"/>
        </w:rPr>
        <w:t>g</w:t>
      </w:r>
      <w:r>
        <w:rPr>
          <w:rFonts w:hint="default" w:ascii="Times New Roman" w:hAnsi="Times New Roman" w:eastAsia="宋体"/>
          <w:sz w:val="21"/>
          <w:szCs w:val="21"/>
          <w:lang w:val="en-US" w:eastAsia="zh-CN"/>
        </w:rPr>
        <w:t>参数法，应充分考虑阀厅内的温度和湿度对空气净距的影响。</w:t>
      </w:r>
    </w:p>
    <w:p w14:paraId="6C12FCA2">
      <w:pPr>
        <w:ind w:firstLine="420"/>
        <w:rPr>
          <w:rFonts w:hint="default" w:ascii="Times New Roman" w:hAnsi="Times New Roman" w:eastAsia="宋体"/>
          <w:sz w:val="21"/>
          <w:szCs w:val="21"/>
          <w:lang w:val="en-US" w:eastAsia="zh-CN"/>
        </w:rPr>
      </w:pPr>
      <w:r>
        <w:rPr>
          <w:rFonts w:hint="default" w:ascii="Times New Roman" w:hAnsi="Times New Roman" w:eastAsia="宋体"/>
          <w:sz w:val="21"/>
          <w:szCs w:val="21"/>
          <w:lang w:val="en-US" w:eastAsia="zh-CN"/>
        </w:rPr>
        <w:t>2 换流站净距计算参考《GB∕T311.3-2017 绝缘配合 第3部分：高压直流换流站绝缘配合程序》。</w:t>
      </w:r>
    </w:p>
    <w:p w14:paraId="297E6D83">
      <w:pPr>
        <w:rPr>
          <w:rFonts w:hint="default"/>
          <w:color w:val="000000"/>
          <w:sz w:val="21"/>
          <w:szCs w:val="21"/>
          <w:lang w:val="en-US" w:eastAsia="zh-CN"/>
        </w:rPr>
      </w:pPr>
      <w:r>
        <w:rPr>
          <w:rFonts w:hint="eastAsia"/>
          <w:color w:val="000000"/>
          <w:sz w:val="21"/>
          <w:szCs w:val="21"/>
          <w:lang w:val="en-US" w:eastAsia="zh-CN"/>
        </w:rPr>
        <w:t>4.5</w:t>
      </w:r>
      <w:r>
        <w:rPr>
          <w:rFonts w:hint="default"/>
          <w:color w:val="000000"/>
          <w:sz w:val="21"/>
          <w:szCs w:val="21"/>
          <w:lang w:val="en-US" w:eastAsia="zh-CN"/>
        </w:rPr>
        <w:t>.3.3 研究结论。应明确换流站内阀厅、其他户内场、户外场的空气净距要求。</w:t>
      </w:r>
    </w:p>
    <w:p w14:paraId="7EB9111D">
      <w:pPr>
        <w:outlineLvl w:val="2"/>
        <w:rPr>
          <w:rFonts w:hint="default" w:ascii="Times New Roman" w:hAnsi="Times New Roman" w:eastAsia="宋体" w:cstheme="minorBidi"/>
          <w:color w:val="000000"/>
          <w:sz w:val="21"/>
          <w:szCs w:val="21"/>
          <w:lang w:val="en-US" w:eastAsia="zh-CN"/>
        </w:rPr>
      </w:pPr>
      <w:bookmarkStart w:id="275" w:name="_Toc31568"/>
      <w:r>
        <w:rPr>
          <w:rFonts w:hint="eastAsia" w:cstheme="minorBidi"/>
          <w:color w:val="000000"/>
          <w:sz w:val="21"/>
          <w:szCs w:val="21"/>
          <w:lang w:val="en-US" w:eastAsia="zh-CN"/>
        </w:rPr>
        <w:t>4.5</w:t>
      </w:r>
      <w:r>
        <w:rPr>
          <w:rFonts w:hint="default" w:ascii="Times New Roman" w:hAnsi="Times New Roman" w:eastAsia="宋体" w:cstheme="minorBidi"/>
          <w:color w:val="000000"/>
          <w:sz w:val="21"/>
          <w:szCs w:val="21"/>
          <w:lang w:val="en-US" w:eastAsia="zh-CN"/>
        </w:rPr>
        <w:t>.4</w:t>
      </w:r>
      <w:r>
        <w:rPr>
          <w:rFonts w:hint="eastAsia" w:ascii="Times New Roman" w:hAnsi="Times New Roman" w:eastAsia="宋体" w:cstheme="minorBidi"/>
          <w:color w:val="000000"/>
          <w:sz w:val="21"/>
          <w:szCs w:val="21"/>
          <w:lang w:val="en-US" w:eastAsia="zh-CN"/>
        </w:rPr>
        <w:t xml:space="preserve"> </w:t>
      </w:r>
      <w:r>
        <w:rPr>
          <w:rFonts w:hint="default" w:ascii="Times New Roman" w:hAnsi="Times New Roman" w:eastAsia="宋体" w:cstheme="minorBidi"/>
          <w:color w:val="000000"/>
          <w:sz w:val="21"/>
          <w:szCs w:val="21"/>
          <w:lang w:val="en-US" w:eastAsia="zh-CN"/>
        </w:rPr>
        <w:t>交流暂时过电压研究</w:t>
      </w:r>
      <w:bookmarkEnd w:id="275"/>
    </w:p>
    <w:p w14:paraId="10672072">
      <w:pPr>
        <w:rPr>
          <w:rFonts w:hint="default"/>
          <w:color w:val="000000"/>
          <w:sz w:val="21"/>
          <w:szCs w:val="21"/>
          <w:lang w:val="en-US" w:eastAsia="zh-CN"/>
        </w:rPr>
      </w:pPr>
      <w:r>
        <w:rPr>
          <w:rFonts w:hint="eastAsia"/>
          <w:color w:val="000000"/>
          <w:sz w:val="21"/>
          <w:szCs w:val="21"/>
          <w:lang w:val="en-US" w:eastAsia="zh-CN"/>
        </w:rPr>
        <w:t>4.5</w:t>
      </w:r>
      <w:r>
        <w:rPr>
          <w:rFonts w:hint="default" w:ascii="Times New Roman" w:hAnsi="Times New Roman" w:eastAsia="宋体" w:cs="Times New Roman"/>
          <w:color w:val="000000"/>
          <w:sz w:val="21"/>
          <w:szCs w:val="21"/>
          <w:lang w:val="en-US" w:eastAsia="zh-CN"/>
        </w:rPr>
        <w:t>.</w:t>
      </w:r>
      <w:r>
        <w:rPr>
          <w:rFonts w:hint="default" w:cs="Times New Roman"/>
          <w:color w:val="000000"/>
          <w:sz w:val="21"/>
          <w:szCs w:val="21"/>
          <w:lang w:val="en-US" w:eastAsia="zh-CN"/>
        </w:rPr>
        <w:t>4</w:t>
      </w:r>
      <w:r>
        <w:rPr>
          <w:rFonts w:hint="default"/>
          <w:color w:val="000000"/>
          <w:sz w:val="21"/>
          <w:szCs w:val="21"/>
          <w:lang w:val="en-US" w:eastAsia="zh-CN"/>
        </w:rPr>
        <w:t>.1 研究目的。应分析直流输电系统交流侧故障情况下铁磁谐振过电压水平及抑制措施，分析换流</w:t>
      </w:r>
      <w:r>
        <w:rPr>
          <w:rFonts w:hint="eastAsia"/>
          <w:color w:val="000000"/>
          <w:sz w:val="21"/>
          <w:szCs w:val="21"/>
          <w:lang w:val="en-US" w:eastAsia="zh-CN"/>
        </w:rPr>
        <w:t>/柔直</w:t>
      </w:r>
      <w:r>
        <w:rPr>
          <w:rFonts w:hint="default"/>
          <w:color w:val="000000"/>
          <w:sz w:val="21"/>
          <w:szCs w:val="21"/>
          <w:lang w:val="en-US" w:eastAsia="zh-CN"/>
        </w:rPr>
        <w:t>变压器</w:t>
      </w:r>
      <w:r>
        <w:rPr>
          <w:rFonts w:hint="eastAsia"/>
          <w:color w:val="000000"/>
          <w:sz w:val="21"/>
          <w:szCs w:val="21"/>
          <w:lang w:val="en-US" w:eastAsia="zh-CN"/>
        </w:rPr>
        <w:t>空载合闸</w:t>
      </w:r>
      <w:r>
        <w:rPr>
          <w:rFonts w:hint="default"/>
          <w:color w:val="000000"/>
          <w:sz w:val="21"/>
          <w:szCs w:val="21"/>
          <w:lang w:val="en-US" w:eastAsia="zh-CN"/>
        </w:rPr>
        <w:t>的励磁涌流风险及抑制措施。</w:t>
      </w:r>
    </w:p>
    <w:p w14:paraId="7049E99F">
      <w:pPr>
        <w:rPr>
          <w:rFonts w:hint="default"/>
          <w:color w:val="000000"/>
          <w:sz w:val="21"/>
          <w:szCs w:val="21"/>
          <w:lang w:val="en-US" w:eastAsia="zh-CN"/>
        </w:rPr>
      </w:pPr>
      <w:r>
        <w:rPr>
          <w:rFonts w:hint="eastAsia" w:cs="Times New Roman"/>
          <w:color w:val="000000"/>
          <w:sz w:val="21"/>
          <w:szCs w:val="21"/>
          <w:lang w:val="en-US" w:eastAsia="zh-CN"/>
        </w:rPr>
        <w:t>4.5</w:t>
      </w:r>
      <w:r>
        <w:rPr>
          <w:rFonts w:hint="default" w:ascii="Times New Roman" w:hAnsi="Times New Roman" w:eastAsia="宋体" w:cs="Times New Roman"/>
          <w:color w:val="000000"/>
          <w:sz w:val="21"/>
          <w:szCs w:val="21"/>
          <w:lang w:val="en-US" w:eastAsia="zh-CN"/>
        </w:rPr>
        <w:t>.</w:t>
      </w:r>
      <w:r>
        <w:rPr>
          <w:rFonts w:hint="default" w:cs="Times New Roman"/>
          <w:color w:val="000000"/>
          <w:sz w:val="21"/>
          <w:szCs w:val="21"/>
          <w:lang w:val="en-US" w:eastAsia="zh-CN"/>
        </w:rPr>
        <w:t>4</w:t>
      </w:r>
      <w:r>
        <w:rPr>
          <w:rFonts w:hint="default"/>
          <w:color w:val="000000"/>
          <w:sz w:val="21"/>
          <w:szCs w:val="21"/>
          <w:lang w:val="en-US" w:eastAsia="zh-CN"/>
        </w:rPr>
        <w:t>.2 研究要点</w:t>
      </w:r>
    </w:p>
    <w:p w14:paraId="1EDFBF54">
      <w:pPr>
        <w:ind w:firstLine="420"/>
        <w:rPr>
          <w:rFonts w:hint="default" w:ascii="Times New Roman" w:hAnsi="Times New Roman" w:eastAsia="宋体"/>
          <w:sz w:val="21"/>
          <w:szCs w:val="21"/>
          <w:lang w:val="en-US" w:eastAsia="zh-CN"/>
        </w:rPr>
      </w:pPr>
      <w:r>
        <w:rPr>
          <w:rFonts w:hint="default" w:ascii="Times New Roman" w:hAnsi="Times New Roman" w:eastAsia="宋体"/>
          <w:sz w:val="21"/>
          <w:szCs w:val="21"/>
          <w:lang w:val="en-US" w:eastAsia="zh-CN"/>
        </w:rPr>
        <w:t>1 研究基于交流系统和直流系统的电磁暂态模型，交流系统至少采用系统的静态等值模型。</w:t>
      </w:r>
    </w:p>
    <w:p w14:paraId="11860631">
      <w:pPr>
        <w:ind w:firstLine="420"/>
        <w:rPr>
          <w:rFonts w:hint="default" w:ascii="Times New Roman" w:hAnsi="Times New Roman" w:eastAsia="宋体"/>
          <w:sz w:val="21"/>
          <w:szCs w:val="21"/>
          <w:lang w:val="en-US" w:eastAsia="zh-CN"/>
        </w:rPr>
      </w:pPr>
      <w:r>
        <w:rPr>
          <w:rFonts w:hint="default" w:ascii="Times New Roman" w:hAnsi="Times New Roman" w:eastAsia="宋体"/>
          <w:sz w:val="21"/>
          <w:szCs w:val="21"/>
          <w:lang w:val="en-US" w:eastAsia="zh-CN"/>
        </w:rPr>
        <w:t>2 交流暂时过电压以及操作过电压至少需要考虑直流双极闭锁故障、交流侧三相接地故障、交流侧三相接地后的切除线路故障。</w:t>
      </w:r>
    </w:p>
    <w:p w14:paraId="066D9DD6">
      <w:pPr>
        <w:ind w:firstLine="420"/>
        <w:rPr>
          <w:rFonts w:hint="default" w:ascii="Times New Roman" w:hAnsi="Times New Roman" w:eastAsia="宋体"/>
          <w:sz w:val="21"/>
          <w:szCs w:val="21"/>
          <w:lang w:val="en-US" w:eastAsia="zh-CN"/>
        </w:rPr>
      </w:pPr>
      <w:r>
        <w:rPr>
          <w:rFonts w:hint="default" w:ascii="Times New Roman" w:hAnsi="Times New Roman" w:eastAsia="宋体"/>
          <w:sz w:val="21"/>
          <w:szCs w:val="21"/>
          <w:lang w:val="en-US" w:eastAsia="zh-CN"/>
        </w:rPr>
        <w:t xml:space="preserve">3 </w:t>
      </w:r>
      <w:r>
        <w:rPr>
          <w:rFonts w:hint="default"/>
          <w:color w:val="000000"/>
          <w:sz w:val="21"/>
          <w:szCs w:val="21"/>
          <w:lang w:val="en-US" w:eastAsia="zh-CN"/>
        </w:rPr>
        <w:t>换流</w:t>
      </w:r>
      <w:r>
        <w:rPr>
          <w:rFonts w:hint="eastAsia"/>
          <w:color w:val="000000"/>
          <w:sz w:val="21"/>
          <w:szCs w:val="21"/>
          <w:lang w:val="en-US" w:eastAsia="zh-CN"/>
        </w:rPr>
        <w:t>/柔直</w:t>
      </w:r>
      <w:r>
        <w:rPr>
          <w:rFonts w:hint="default"/>
          <w:color w:val="000000"/>
          <w:sz w:val="21"/>
          <w:szCs w:val="21"/>
          <w:lang w:val="en-US" w:eastAsia="zh-CN"/>
        </w:rPr>
        <w:t>变压器</w:t>
      </w:r>
      <w:r>
        <w:rPr>
          <w:rFonts w:hint="eastAsia"/>
          <w:color w:val="000000"/>
          <w:sz w:val="21"/>
          <w:szCs w:val="21"/>
          <w:lang w:val="en-US" w:eastAsia="zh-CN"/>
        </w:rPr>
        <w:t>空载合闸</w:t>
      </w:r>
      <w:r>
        <w:rPr>
          <w:rFonts w:hint="default" w:ascii="Times New Roman" w:hAnsi="Times New Roman" w:eastAsia="宋体"/>
          <w:sz w:val="21"/>
          <w:szCs w:val="21"/>
          <w:lang w:val="en-US" w:eastAsia="zh-CN"/>
        </w:rPr>
        <w:t>至少需要考虑单极投入</w:t>
      </w:r>
      <w:r>
        <w:rPr>
          <w:rFonts w:hint="eastAsia"/>
          <w:sz w:val="21"/>
          <w:szCs w:val="21"/>
          <w:lang w:val="en-US" w:eastAsia="zh-CN"/>
        </w:rPr>
        <w:t>，对于双极系统，还应考虑</w:t>
      </w:r>
      <w:r>
        <w:rPr>
          <w:rFonts w:hint="default" w:ascii="Times New Roman" w:hAnsi="Times New Roman" w:eastAsia="宋体"/>
          <w:sz w:val="21"/>
          <w:szCs w:val="21"/>
          <w:lang w:val="en-US" w:eastAsia="zh-CN"/>
        </w:rPr>
        <w:t>一极运行一极投入工况，交流系统需要考虑全接线，并在此基础上考虑N-2的系统接线。</w:t>
      </w:r>
    </w:p>
    <w:p w14:paraId="6C05FF9D">
      <w:pPr>
        <w:rPr>
          <w:rFonts w:hint="default"/>
          <w:color w:val="000000"/>
          <w:sz w:val="21"/>
          <w:szCs w:val="21"/>
          <w:lang w:val="en-US" w:eastAsia="zh-CN"/>
        </w:rPr>
      </w:pPr>
      <w:r>
        <w:rPr>
          <w:rFonts w:hint="eastAsia" w:cs="Times New Roman"/>
          <w:color w:val="000000"/>
          <w:sz w:val="21"/>
          <w:szCs w:val="21"/>
          <w:lang w:val="en-US" w:eastAsia="zh-CN"/>
        </w:rPr>
        <w:t>4.5</w:t>
      </w:r>
      <w:r>
        <w:rPr>
          <w:rFonts w:hint="default" w:ascii="Times New Roman" w:hAnsi="Times New Roman" w:eastAsia="宋体" w:cs="Times New Roman"/>
          <w:color w:val="000000"/>
          <w:sz w:val="21"/>
          <w:szCs w:val="21"/>
          <w:lang w:val="en-US" w:eastAsia="zh-CN"/>
        </w:rPr>
        <w:t>.</w:t>
      </w:r>
      <w:r>
        <w:rPr>
          <w:rFonts w:hint="default" w:cs="Times New Roman"/>
          <w:color w:val="000000"/>
          <w:sz w:val="21"/>
          <w:szCs w:val="21"/>
          <w:lang w:val="en-US" w:eastAsia="zh-CN"/>
        </w:rPr>
        <w:t>4</w:t>
      </w:r>
      <w:r>
        <w:rPr>
          <w:rFonts w:hint="default"/>
          <w:color w:val="000000"/>
          <w:sz w:val="21"/>
          <w:szCs w:val="21"/>
          <w:lang w:val="en-US" w:eastAsia="zh-CN"/>
        </w:rPr>
        <w:t>.3 研究结论。应明确交流侧避雷器的校核结果，提出暂态过电压的抑制策略，提出励磁涌流的抑制策略。</w:t>
      </w:r>
    </w:p>
    <w:p w14:paraId="2933A1EC">
      <w:pPr>
        <w:outlineLvl w:val="2"/>
        <w:rPr>
          <w:rFonts w:hint="default" w:ascii="Times New Roman" w:hAnsi="Times New Roman" w:eastAsia="宋体"/>
          <w:color w:val="000000"/>
          <w:sz w:val="21"/>
          <w:szCs w:val="21"/>
          <w:lang w:val="en-US" w:eastAsia="zh-CN"/>
        </w:rPr>
      </w:pPr>
      <w:bookmarkStart w:id="276" w:name="_Toc27181"/>
      <w:r>
        <w:rPr>
          <w:rFonts w:hint="eastAsia"/>
          <w:color w:val="000000"/>
          <w:sz w:val="21"/>
          <w:szCs w:val="21"/>
          <w:lang w:val="en-US" w:eastAsia="zh-CN"/>
        </w:rPr>
        <w:t>4.5</w:t>
      </w:r>
      <w:r>
        <w:rPr>
          <w:rFonts w:hint="default" w:ascii="Times New Roman" w:hAnsi="Times New Roman" w:eastAsia="宋体"/>
          <w:color w:val="000000"/>
          <w:sz w:val="21"/>
          <w:szCs w:val="21"/>
          <w:lang w:val="en-US" w:eastAsia="zh-CN"/>
        </w:rPr>
        <w:t>.5</w:t>
      </w:r>
      <w:r>
        <w:rPr>
          <w:rFonts w:hint="eastAsia" w:ascii="Times New Roman" w:hAnsi="Times New Roman" w:eastAsia="宋体"/>
          <w:color w:val="000000"/>
          <w:sz w:val="21"/>
          <w:szCs w:val="21"/>
          <w:lang w:val="en-US" w:eastAsia="zh-CN"/>
        </w:rPr>
        <w:t xml:space="preserve"> </w:t>
      </w:r>
      <w:r>
        <w:rPr>
          <w:rFonts w:hint="default" w:ascii="Times New Roman" w:hAnsi="Times New Roman" w:eastAsia="宋体"/>
          <w:color w:val="000000"/>
          <w:sz w:val="21"/>
          <w:szCs w:val="21"/>
          <w:lang w:val="en-US" w:eastAsia="zh-CN"/>
        </w:rPr>
        <w:t>雷电侵入波研究</w:t>
      </w:r>
      <w:bookmarkEnd w:id="276"/>
    </w:p>
    <w:p w14:paraId="6B9C170C">
      <w:pPr>
        <w:rPr>
          <w:rFonts w:hint="default"/>
          <w:color w:val="000000"/>
          <w:sz w:val="21"/>
          <w:szCs w:val="21"/>
          <w:lang w:val="en-US" w:eastAsia="zh-CN"/>
        </w:rPr>
      </w:pPr>
      <w:r>
        <w:rPr>
          <w:rFonts w:hint="eastAsia"/>
          <w:color w:val="000000"/>
          <w:sz w:val="21"/>
          <w:szCs w:val="21"/>
          <w:lang w:val="en-US" w:eastAsia="zh-CN"/>
        </w:rPr>
        <w:t>4.5</w:t>
      </w:r>
      <w:r>
        <w:rPr>
          <w:rFonts w:hint="default"/>
          <w:color w:val="000000"/>
          <w:sz w:val="21"/>
          <w:szCs w:val="21"/>
          <w:lang w:val="en-US" w:eastAsia="zh-CN"/>
        </w:rPr>
        <w:t>.5.1</w:t>
      </w:r>
      <w:r>
        <w:rPr>
          <w:rFonts w:hint="eastAsia"/>
          <w:color w:val="000000"/>
          <w:sz w:val="21"/>
          <w:szCs w:val="21"/>
          <w:lang w:val="en-US" w:eastAsia="zh-CN"/>
        </w:rPr>
        <w:t xml:space="preserve"> </w:t>
      </w:r>
      <w:r>
        <w:rPr>
          <w:rFonts w:hint="default"/>
          <w:color w:val="000000"/>
          <w:sz w:val="21"/>
          <w:szCs w:val="21"/>
          <w:lang w:val="en-US" w:eastAsia="zh-CN"/>
        </w:rPr>
        <w:t>研究目的。应计算换流站内交流侧以及直流侧线路雷电侵入波引起的换流站内的过电压水平，校核换流站设备布置方案。</w:t>
      </w:r>
    </w:p>
    <w:p w14:paraId="26A48503">
      <w:pPr>
        <w:rPr>
          <w:rFonts w:hint="default"/>
          <w:color w:val="000000"/>
          <w:sz w:val="21"/>
          <w:szCs w:val="21"/>
          <w:lang w:val="en-US" w:eastAsia="zh-CN"/>
        </w:rPr>
      </w:pPr>
      <w:r>
        <w:rPr>
          <w:rFonts w:hint="eastAsia"/>
          <w:color w:val="000000"/>
          <w:sz w:val="21"/>
          <w:szCs w:val="21"/>
          <w:lang w:val="en-US" w:eastAsia="zh-CN"/>
        </w:rPr>
        <w:t>4.5</w:t>
      </w:r>
      <w:r>
        <w:rPr>
          <w:rFonts w:hint="default"/>
          <w:color w:val="000000"/>
          <w:sz w:val="21"/>
          <w:szCs w:val="21"/>
          <w:lang w:val="en-US" w:eastAsia="zh-CN"/>
        </w:rPr>
        <w:t>.5.2 研究要点</w:t>
      </w:r>
    </w:p>
    <w:p w14:paraId="6E56AC81">
      <w:pPr>
        <w:ind w:firstLine="420"/>
        <w:rPr>
          <w:rFonts w:hint="default" w:ascii="Times New Roman" w:hAnsi="Times New Roman" w:eastAsia="宋体"/>
          <w:sz w:val="21"/>
          <w:szCs w:val="21"/>
          <w:lang w:val="en-US" w:eastAsia="zh-CN"/>
        </w:rPr>
      </w:pPr>
      <w:r>
        <w:rPr>
          <w:rFonts w:hint="default" w:ascii="Times New Roman" w:hAnsi="Times New Roman" w:eastAsia="宋体"/>
          <w:sz w:val="21"/>
          <w:szCs w:val="21"/>
          <w:lang w:val="en-US" w:eastAsia="zh-CN"/>
        </w:rPr>
        <w:t>1 雷电侵入波计算应充分考虑杆塔具体形式，杆塔需要考虑至少距离换流站2公里范围内，应考虑反击雷、绕击雷的影响。</w:t>
      </w:r>
    </w:p>
    <w:p w14:paraId="0DF4E866">
      <w:pPr>
        <w:ind w:firstLine="420"/>
        <w:rPr>
          <w:rFonts w:hint="default" w:ascii="Times New Roman" w:hAnsi="Times New Roman" w:eastAsia="宋体"/>
          <w:sz w:val="21"/>
          <w:szCs w:val="21"/>
          <w:lang w:val="en-US" w:eastAsia="zh-CN"/>
        </w:rPr>
      </w:pPr>
      <w:r>
        <w:rPr>
          <w:rFonts w:hint="default" w:ascii="Times New Roman" w:hAnsi="Times New Roman" w:eastAsia="宋体"/>
          <w:sz w:val="21"/>
          <w:szCs w:val="21"/>
          <w:lang w:val="en-US" w:eastAsia="zh-CN"/>
        </w:rPr>
        <w:t>2 换流站内设备、管母等需要考虑波阻抗模型，充分校核换流站内各位置的绝缘水平。</w:t>
      </w:r>
    </w:p>
    <w:p w14:paraId="093018F8">
      <w:pPr>
        <w:ind w:firstLine="420"/>
        <w:rPr>
          <w:rFonts w:hint="default" w:ascii="Times New Roman" w:hAnsi="Times New Roman" w:eastAsia="宋体"/>
          <w:sz w:val="21"/>
          <w:szCs w:val="21"/>
          <w:lang w:val="en-US" w:eastAsia="zh-CN"/>
        </w:rPr>
      </w:pPr>
      <w:r>
        <w:rPr>
          <w:rFonts w:hint="default" w:ascii="Times New Roman" w:hAnsi="Times New Roman" w:eastAsia="宋体"/>
          <w:sz w:val="21"/>
          <w:szCs w:val="21"/>
          <w:lang w:val="en-US" w:eastAsia="zh-CN"/>
        </w:rPr>
        <w:t>3 若超出雷电绝缘水平裕度，需</w:t>
      </w:r>
      <w:r>
        <w:rPr>
          <w:rFonts w:hint="eastAsia"/>
          <w:sz w:val="21"/>
          <w:szCs w:val="21"/>
          <w:lang w:val="en-US" w:eastAsia="zh-CN"/>
        </w:rPr>
        <w:t>综合对比多种可行的解决措施，提出优化解决方案</w:t>
      </w:r>
      <w:r>
        <w:rPr>
          <w:rFonts w:hint="default" w:ascii="Times New Roman" w:hAnsi="Times New Roman" w:eastAsia="宋体"/>
          <w:sz w:val="21"/>
          <w:szCs w:val="21"/>
          <w:lang w:val="en-US" w:eastAsia="zh-CN"/>
        </w:rPr>
        <w:t>。</w:t>
      </w:r>
    </w:p>
    <w:p w14:paraId="1FD73DAB">
      <w:pPr>
        <w:rPr>
          <w:rFonts w:hint="default"/>
          <w:color w:val="000000"/>
          <w:sz w:val="21"/>
          <w:szCs w:val="21"/>
          <w:lang w:val="en-US" w:eastAsia="zh-CN"/>
        </w:rPr>
      </w:pPr>
      <w:r>
        <w:rPr>
          <w:rFonts w:hint="eastAsia"/>
          <w:color w:val="000000"/>
          <w:sz w:val="21"/>
          <w:szCs w:val="21"/>
          <w:lang w:val="en-US" w:eastAsia="zh-CN"/>
        </w:rPr>
        <w:t>4.5</w:t>
      </w:r>
      <w:r>
        <w:rPr>
          <w:rFonts w:hint="default"/>
          <w:color w:val="000000"/>
          <w:sz w:val="21"/>
          <w:szCs w:val="21"/>
          <w:lang w:val="en-US" w:eastAsia="zh-CN"/>
        </w:rPr>
        <w:t>.5.3 研究结论。应明确换流站雷电侵入波校核结论，提出雷电过电压抑制措施。</w:t>
      </w:r>
    </w:p>
    <w:p w14:paraId="5F66D66F">
      <w:pPr>
        <w:outlineLvl w:val="2"/>
        <w:rPr>
          <w:rFonts w:hint="default" w:ascii="Times New Roman" w:hAnsi="Times New Roman" w:eastAsia="宋体" w:cstheme="minorBidi"/>
          <w:color w:val="000000"/>
          <w:sz w:val="21"/>
          <w:szCs w:val="21"/>
          <w:lang w:val="en-US" w:eastAsia="zh-CN"/>
        </w:rPr>
      </w:pPr>
      <w:bookmarkStart w:id="277" w:name="_Toc28026"/>
      <w:r>
        <w:rPr>
          <w:rFonts w:hint="eastAsia"/>
          <w:color w:val="000000"/>
          <w:sz w:val="21"/>
          <w:szCs w:val="21"/>
          <w:lang w:val="en-US" w:eastAsia="zh-CN"/>
        </w:rPr>
        <w:t>4.5</w:t>
      </w:r>
      <w:r>
        <w:rPr>
          <w:rFonts w:hint="default" w:ascii="Times New Roman" w:hAnsi="Times New Roman" w:eastAsia="宋体"/>
          <w:color w:val="000000"/>
          <w:sz w:val="21"/>
          <w:szCs w:val="21"/>
          <w:lang w:val="en-US" w:eastAsia="zh-CN"/>
        </w:rPr>
        <w:t xml:space="preserve">.6 </w:t>
      </w:r>
      <w:r>
        <w:rPr>
          <w:rFonts w:hint="default" w:ascii="Times New Roman" w:hAnsi="Times New Roman" w:eastAsia="宋体" w:cstheme="minorBidi"/>
          <w:color w:val="000000"/>
          <w:sz w:val="21"/>
          <w:szCs w:val="21"/>
          <w:lang w:val="en-US" w:eastAsia="zh-CN"/>
        </w:rPr>
        <w:t>外绝缘特性研究</w:t>
      </w:r>
      <w:bookmarkEnd w:id="277"/>
    </w:p>
    <w:p w14:paraId="3475A2D0">
      <w:pPr>
        <w:rPr>
          <w:rFonts w:hint="default"/>
          <w:color w:val="000000"/>
          <w:sz w:val="21"/>
          <w:szCs w:val="21"/>
          <w:lang w:val="en-US" w:eastAsia="zh-CN"/>
        </w:rPr>
      </w:pPr>
      <w:r>
        <w:rPr>
          <w:rFonts w:hint="eastAsia"/>
          <w:color w:val="000000"/>
          <w:sz w:val="21"/>
          <w:szCs w:val="21"/>
          <w:lang w:val="en-US" w:eastAsia="zh-CN"/>
        </w:rPr>
        <w:t>4.5</w:t>
      </w:r>
      <w:r>
        <w:rPr>
          <w:rFonts w:hint="default"/>
          <w:color w:val="000000"/>
          <w:sz w:val="21"/>
          <w:szCs w:val="21"/>
          <w:lang w:val="en-US" w:eastAsia="zh-CN"/>
        </w:rPr>
        <w:t>.6.1</w:t>
      </w:r>
      <w:r>
        <w:rPr>
          <w:rFonts w:hint="eastAsia"/>
          <w:color w:val="000000"/>
          <w:sz w:val="21"/>
          <w:szCs w:val="21"/>
          <w:lang w:val="en-US" w:eastAsia="zh-CN"/>
        </w:rPr>
        <w:t xml:space="preserve"> </w:t>
      </w:r>
      <w:r>
        <w:rPr>
          <w:rFonts w:hint="default"/>
          <w:color w:val="000000"/>
          <w:sz w:val="21"/>
          <w:szCs w:val="21"/>
          <w:lang w:val="en-US" w:eastAsia="zh-CN"/>
        </w:rPr>
        <w:t>研究目的。</w:t>
      </w:r>
      <w:r>
        <w:rPr>
          <w:rFonts w:hint="eastAsia"/>
          <w:color w:val="000000"/>
          <w:sz w:val="21"/>
          <w:szCs w:val="21"/>
          <w:lang w:val="en-US" w:eastAsia="zh-CN"/>
        </w:rPr>
        <w:t>应</w:t>
      </w:r>
      <w:r>
        <w:rPr>
          <w:rFonts w:hint="default"/>
          <w:color w:val="000000"/>
          <w:sz w:val="21"/>
          <w:szCs w:val="21"/>
          <w:lang w:val="en-US" w:eastAsia="zh-CN"/>
        </w:rPr>
        <w:t>根据换流站的污秽条件，确定换流站直流侧和交流侧爬电比距要求，根据换流站海拔高度，确定换流站外绝缘修正系数要求。</w:t>
      </w:r>
    </w:p>
    <w:p w14:paraId="4D778960">
      <w:pPr>
        <w:rPr>
          <w:rFonts w:hint="default"/>
          <w:color w:val="000000"/>
          <w:sz w:val="21"/>
          <w:szCs w:val="21"/>
          <w:lang w:val="en-US" w:eastAsia="zh-CN"/>
        </w:rPr>
      </w:pPr>
      <w:r>
        <w:rPr>
          <w:rFonts w:hint="eastAsia"/>
          <w:color w:val="000000"/>
          <w:sz w:val="21"/>
          <w:szCs w:val="21"/>
          <w:lang w:val="en-US" w:eastAsia="zh-CN"/>
        </w:rPr>
        <w:t>4.5</w:t>
      </w:r>
      <w:r>
        <w:rPr>
          <w:rFonts w:hint="default"/>
          <w:color w:val="000000"/>
          <w:sz w:val="21"/>
          <w:szCs w:val="21"/>
          <w:lang w:val="en-US" w:eastAsia="zh-CN"/>
        </w:rPr>
        <w:t>.6.2 研究要点</w:t>
      </w:r>
    </w:p>
    <w:p w14:paraId="2522F80A">
      <w:pPr>
        <w:ind w:firstLine="420"/>
        <w:rPr>
          <w:rFonts w:hint="default" w:ascii="Times New Roman" w:hAnsi="Times New Roman" w:eastAsia="宋体"/>
          <w:sz w:val="21"/>
          <w:szCs w:val="21"/>
          <w:lang w:val="en-US" w:eastAsia="zh-CN"/>
        </w:rPr>
      </w:pPr>
      <w:r>
        <w:rPr>
          <w:rFonts w:hint="default" w:ascii="Times New Roman" w:hAnsi="Times New Roman" w:eastAsia="宋体"/>
          <w:sz w:val="21"/>
          <w:szCs w:val="21"/>
          <w:lang w:val="en-US" w:eastAsia="zh-CN"/>
        </w:rPr>
        <w:t>1 应根据换流站的污秽条件确定爬电比距要求，需要针对换流站开展污秽条件测试。</w:t>
      </w:r>
    </w:p>
    <w:p w14:paraId="3298D34E">
      <w:pPr>
        <w:ind w:firstLine="420"/>
        <w:rPr>
          <w:rFonts w:hint="default" w:ascii="Times New Roman" w:hAnsi="Times New Roman" w:eastAsia="宋体"/>
          <w:sz w:val="21"/>
          <w:szCs w:val="21"/>
          <w:lang w:val="en-US" w:eastAsia="zh-CN"/>
        </w:rPr>
      </w:pPr>
      <w:r>
        <w:rPr>
          <w:rFonts w:hint="default" w:ascii="Times New Roman" w:hAnsi="Times New Roman" w:eastAsia="宋体"/>
          <w:sz w:val="21"/>
          <w:szCs w:val="21"/>
          <w:lang w:val="en-US" w:eastAsia="zh-CN"/>
        </w:rPr>
        <w:t>2 应根据换流站的海拔条件确定外绝缘海拔修正系数，必要时，开展相关空气放电试验验证修正系数。</w:t>
      </w:r>
    </w:p>
    <w:p w14:paraId="593BEC04">
      <w:pPr>
        <w:rPr>
          <w:rFonts w:hint="default"/>
          <w:color w:val="000000"/>
          <w:szCs w:val="21"/>
          <w:lang w:val="en-US" w:eastAsia="zh-CN"/>
        </w:rPr>
      </w:pPr>
      <w:r>
        <w:rPr>
          <w:rFonts w:hint="eastAsia"/>
          <w:color w:val="000000"/>
          <w:szCs w:val="21"/>
          <w:lang w:val="en-US" w:eastAsia="zh-CN"/>
        </w:rPr>
        <w:t>4.5</w:t>
      </w:r>
      <w:r>
        <w:rPr>
          <w:rFonts w:hint="default"/>
          <w:color w:val="000000"/>
          <w:szCs w:val="21"/>
          <w:lang w:val="en-US" w:eastAsia="zh-CN"/>
        </w:rPr>
        <w:t>.6.3 研究结论。</w:t>
      </w:r>
      <w:r>
        <w:rPr>
          <w:rFonts w:hint="eastAsia"/>
          <w:color w:val="000000"/>
          <w:sz w:val="21"/>
          <w:szCs w:val="21"/>
          <w:lang w:val="en-US" w:eastAsia="zh-CN"/>
        </w:rPr>
        <w:t>应</w:t>
      </w:r>
      <w:r>
        <w:rPr>
          <w:rFonts w:hint="default"/>
          <w:color w:val="000000"/>
          <w:szCs w:val="21"/>
          <w:lang w:val="en-US" w:eastAsia="zh-CN"/>
        </w:rPr>
        <w:t>明确所有设备的爬电比距要求，提出换流站的海拔修正系数。</w:t>
      </w:r>
    </w:p>
    <w:bookmarkEnd w:id="237"/>
    <w:bookmarkEnd w:id="238"/>
    <w:p w14:paraId="4FD2A1E8">
      <w:pPr>
        <w:pStyle w:val="3"/>
        <w:rPr>
          <w:rFonts w:hint="default"/>
          <w:lang w:val="en-US" w:eastAsia="zh-CN"/>
        </w:rPr>
      </w:pPr>
      <w:bookmarkStart w:id="278" w:name="_Toc28044"/>
      <w:bookmarkStart w:id="279" w:name="_Toc17623"/>
      <w:bookmarkStart w:id="280" w:name="_Toc28154"/>
      <w:bookmarkStart w:id="281" w:name="_Toc12955"/>
      <w:bookmarkStart w:id="282" w:name="_Toc6359"/>
      <w:bookmarkStart w:id="283" w:name="_Toc6466"/>
      <w:bookmarkStart w:id="284" w:name="_Toc2682"/>
      <w:bookmarkStart w:id="285" w:name="_Toc17670"/>
      <w:bookmarkStart w:id="286" w:name="_Toc15898"/>
      <w:bookmarkStart w:id="287" w:name="_Toc22341"/>
      <w:bookmarkStart w:id="288" w:name="_Toc8641"/>
      <w:bookmarkStart w:id="289" w:name="_Toc1484"/>
      <w:bookmarkStart w:id="290" w:name="_Toc30002"/>
      <w:bookmarkStart w:id="291" w:name="_Toc9944"/>
      <w:bookmarkStart w:id="292" w:name="_Toc22758"/>
      <w:bookmarkStart w:id="293" w:name="_Toc24599"/>
      <w:r>
        <w:rPr>
          <w:rFonts w:hint="eastAsia"/>
          <w:lang w:val="en-US" w:eastAsia="zh-CN"/>
        </w:rPr>
        <w:t>4.6 直流性能相关研究</w:t>
      </w:r>
      <w:bookmarkEnd w:id="278"/>
      <w:bookmarkEnd w:id="279"/>
      <w:bookmarkEnd w:id="280"/>
      <w:bookmarkEnd w:id="281"/>
      <w:bookmarkEnd w:id="282"/>
      <w:bookmarkEnd w:id="283"/>
      <w:bookmarkEnd w:id="284"/>
      <w:bookmarkEnd w:id="285"/>
      <w:bookmarkEnd w:id="286"/>
      <w:bookmarkEnd w:id="287"/>
    </w:p>
    <w:p w14:paraId="6FD94590">
      <w:pPr>
        <w:outlineLvl w:val="2"/>
        <w:rPr>
          <w:rFonts w:hint="default" w:ascii="Times New Roman" w:hAnsi="Times New Roman" w:eastAsia="宋体" w:cstheme="minorBidi"/>
          <w:color w:val="000000"/>
          <w:sz w:val="21"/>
          <w:szCs w:val="21"/>
          <w:lang w:val="en-US" w:eastAsia="zh-CN"/>
        </w:rPr>
      </w:pPr>
      <w:bookmarkStart w:id="294" w:name="_Toc18472"/>
      <w:bookmarkStart w:id="295" w:name="_Toc9227"/>
      <w:bookmarkStart w:id="296" w:name="_Toc15105"/>
      <w:bookmarkStart w:id="297" w:name="_Toc10777"/>
      <w:bookmarkStart w:id="298" w:name="_Toc6999"/>
      <w:r>
        <w:rPr>
          <w:rFonts w:hint="eastAsia" w:cstheme="minorBidi"/>
          <w:color w:val="000000"/>
          <w:sz w:val="21"/>
          <w:szCs w:val="21"/>
          <w:lang w:val="en-US" w:eastAsia="zh-CN"/>
        </w:rPr>
        <w:t>4.6</w:t>
      </w:r>
      <w:r>
        <w:rPr>
          <w:rFonts w:hint="default" w:ascii="Times New Roman" w:hAnsi="Times New Roman" w:eastAsia="宋体" w:cstheme="minorBidi"/>
          <w:color w:val="000000"/>
          <w:sz w:val="21"/>
          <w:szCs w:val="21"/>
          <w:lang w:val="en-US" w:eastAsia="zh-CN"/>
        </w:rPr>
        <w:t>.1 直流损耗研究</w:t>
      </w:r>
      <w:bookmarkEnd w:id="294"/>
      <w:bookmarkEnd w:id="295"/>
      <w:bookmarkEnd w:id="296"/>
      <w:bookmarkEnd w:id="297"/>
      <w:bookmarkEnd w:id="298"/>
    </w:p>
    <w:p w14:paraId="6C29A272">
      <w:pPr>
        <w:rPr>
          <w:rFonts w:hint="default"/>
          <w:color w:val="000000"/>
          <w:sz w:val="21"/>
          <w:szCs w:val="21"/>
          <w:lang w:val="en-US" w:eastAsia="zh-CN"/>
        </w:rPr>
      </w:pPr>
      <w:r>
        <w:rPr>
          <w:rFonts w:hint="eastAsia" w:cs="Times New Roman"/>
          <w:color w:val="000000"/>
          <w:sz w:val="21"/>
          <w:szCs w:val="21"/>
          <w:lang w:val="en-US" w:eastAsia="zh-CN"/>
        </w:rPr>
        <w:t>4.6</w:t>
      </w:r>
      <w:r>
        <w:rPr>
          <w:rFonts w:hint="default" w:cs="Times New Roman"/>
          <w:color w:val="000000"/>
          <w:sz w:val="21"/>
          <w:szCs w:val="21"/>
          <w:lang w:val="en-US" w:eastAsia="zh-CN"/>
        </w:rPr>
        <w:t>.1</w:t>
      </w:r>
      <w:r>
        <w:rPr>
          <w:rFonts w:hint="default"/>
          <w:color w:val="000000"/>
          <w:sz w:val="21"/>
          <w:szCs w:val="21"/>
          <w:lang w:val="en-US" w:eastAsia="zh-CN"/>
        </w:rPr>
        <w:t>.1 研究目的。应计算换流站的总体损耗和损耗率。</w:t>
      </w:r>
    </w:p>
    <w:p w14:paraId="6949B7CD">
      <w:pPr>
        <w:rPr>
          <w:rFonts w:hint="default"/>
          <w:color w:val="000000"/>
          <w:sz w:val="21"/>
          <w:szCs w:val="21"/>
          <w:lang w:val="en-US" w:eastAsia="zh-CN"/>
        </w:rPr>
      </w:pPr>
      <w:r>
        <w:rPr>
          <w:rFonts w:hint="eastAsia" w:cs="Times New Roman"/>
          <w:color w:val="000000"/>
          <w:sz w:val="21"/>
          <w:szCs w:val="21"/>
          <w:lang w:val="en-US" w:eastAsia="zh-CN"/>
        </w:rPr>
        <w:t>4.6</w:t>
      </w:r>
      <w:r>
        <w:rPr>
          <w:rFonts w:hint="default" w:cs="Times New Roman"/>
          <w:color w:val="000000"/>
          <w:sz w:val="21"/>
          <w:szCs w:val="21"/>
          <w:lang w:val="en-US" w:eastAsia="zh-CN"/>
        </w:rPr>
        <w:t>.1</w:t>
      </w:r>
      <w:r>
        <w:rPr>
          <w:rFonts w:hint="default"/>
          <w:color w:val="000000"/>
          <w:sz w:val="21"/>
          <w:szCs w:val="21"/>
          <w:lang w:val="en-US" w:eastAsia="zh-CN"/>
        </w:rPr>
        <w:t>.2 研究要点</w:t>
      </w:r>
    </w:p>
    <w:p w14:paraId="019885C0">
      <w:pPr>
        <w:ind w:firstLine="420"/>
        <w:rPr>
          <w:rFonts w:hint="default" w:ascii="Times New Roman" w:hAnsi="Times New Roman" w:eastAsia="宋体"/>
          <w:sz w:val="21"/>
          <w:szCs w:val="21"/>
          <w:lang w:val="en-US" w:eastAsia="zh-CN"/>
        </w:rPr>
      </w:pPr>
      <w:r>
        <w:rPr>
          <w:rFonts w:hint="default" w:ascii="Times New Roman" w:hAnsi="Times New Roman" w:eastAsia="宋体"/>
          <w:sz w:val="21"/>
          <w:szCs w:val="21"/>
          <w:lang w:val="en-US" w:eastAsia="zh-CN"/>
        </w:rPr>
        <w:t>1 换流站损耗基于额定运行工况开展。</w:t>
      </w:r>
    </w:p>
    <w:p w14:paraId="12D77882">
      <w:pPr>
        <w:ind w:firstLine="420"/>
        <w:rPr>
          <w:rFonts w:hint="default" w:ascii="Times New Roman" w:hAnsi="Times New Roman" w:eastAsia="宋体"/>
          <w:sz w:val="21"/>
          <w:szCs w:val="21"/>
          <w:lang w:val="en-US" w:eastAsia="zh-CN"/>
        </w:rPr>
      </w:pPr>
      <w:r>
        <w:rPr>
          <w:rFonts w:hint="default" w:ascii="Times New Roman" w:hAnsi="Times New Roman" w:eastAsia="宋体"/>
          <w:sz w:val="21"/>
          <w:szCs w:val="21"/>
          <w:lang w:val="en-US" w:eastAsia="zh-CN"/>
        </w:rPr>
        <w:t>2 损耗计算的具体要求参考《GB/T 20989高压直流输电损耗的确定》确定。</w:t>
      </w:r>
    </w:p>
    <w:p w14:paraId="7AAC5C58">
      <w:pPr>
        <w:rPr>
          <w:rFonts w:hint="default"/>
          <w:color w:val="000000"/>
          <w:sz w:val="21"/>
          <w:szCs w:val="21"/>
          <w:lang w:val="en-US" w:eastAsia="zh-CN"/>
        </w:rPr>
      </w:pPr>
      <w:r>
        <w:rPr>
          <w:rFonts w:hint="eastAsia" w:cs="Times New Roman"/>
          <w:color w:val="000000"/>
          <w:sz w:val="21"/>
          <w:szCs w:val="21"/>
          <w:lang w:val="en-US" w:eastAsia="zh-CN"/>
        </w:rPr>
        <w:t>4.6</w:t>
      </w:r>
      <w:r>
        <w:rPr>
          <w:rFonts w:hint="default" w:cs="Times New Roman"/>
          <w:color w:val="000000"/>
          <w:sz w:val="21"/>
          <w:szCs w:val="21"/>
          <w:lang w:val="en-US" w:eastAsia="zh-CN"/>
        </w:rPr>
        <w:t>.1</w:t>
      </w:r>
      <w:r>
        <w:rPr>
          <w:rFonts w:hint="default"/>
          <w:color w:val="000000"/>
          <w:sz w:val="21"/>
          <w:szCs w:val="21"/>
          <w:lang w:val="en-US" w:eastAsia="zh-CN"/>
        </w:rPr>
        <w:t>.3 研究结论。应确定换流站损耗和损耗率的计算结果，评价是否满足换流站的损耗设计指标。</w:t>
      </w:r>
    </w:p>
    <w:p w14:paraId="6D770911">
      <w:pPr>
        <w:outlineLvl w:val="2"/>
        <w:rPr>
          <w:rFonts w:hint="default" w:ascii="Times New Roman" w:hAnsi="Times New Roman" w:eastAsia="宋体" w:cstheme="minorBidi"/>
          <w:color w:val="000000"/>
          <w:sz w:val="21"/>
          <w:szCs w:val="21"/>
          <w:lang w:val="en-US" w:eastAsia="zh-CN"/>
        </w:rPr>
      </w:pPr>
      <w:bookmarkStart w:id="299" w:name="_Toc29292"/>
      <w:bookmarkStart w:id="300" w:name="_Toc4952"/>
      <w:bookmarkStart w:id="301" w:name="_Toc30697"/>
      <w:bookmarkStart w:id="302" w:name="_Toc25694"/>
      <w:bookmarkStart w:id="303" w:name="_Toc22853"/>
      <w:r>
        <w:rPr>
          <w:rFonts w:hint="eastAsia" w:cstheme="minorBidi"/>
          <w:color w:val="000000"/>
          <w:sz w:val="21"/>
          <w:szCs w:val="21"/>
          <w:lang w:val="en-US" w:eastAsia="zh-CN"/>
        </w:rPr>
        <w:t>4.6</w:t>
      </w:r>
      <w:r>
        <w:rPr>
          <w:rFonts w:hint="default" w:ascii="Times New Roman" w:hAnsi="Times New Roman" w:eastAsia="宋体" w:cstheme="minorBidi"/>
          <w:color w:val="000000"/>
          <w:sz w:val="21"/>
          <w:szCs w:val="21"/>
          <w:lang w:val="en-US" w:eastAsia="zh-CN"/>
        </w:rPr>
        <w:t>.2 可靠性和可用率研究</w:t>
      </w:r>
      <w:bookmarkEnd w:id="299"/>
      <w:bookmarkEnd w:id="300"/>
      <w:bookmarkEnd w:id="301"/>
      <w:bookmarkEnd w:id="302"/>
      <w:bookmarkEnd w:id="303"/>
    </w:p>
    <w:p w14:paraId="412B1B85">
      <w:pPr>
        <w:rPr>
          <w:rFonts w:hint="default"/>
          <w:color w:val="000000"/>
          <w:sz w:val="21"/>
          <w:szCs w:val="21"/>
          <w:lang w:val="en-US" w:eastAsia="zh-CN"/>
        </w:rPr>
      </w:pPr>
      <w:r>
        <w:rPr>
          <w:rFonts w:hint="eastAsia" w:cs="Times New Roman"/>
          <w:color w:val="000000"/>
          <w:sz w:val="21"/>
          <w:szCs w:val="21"/>
          <w:lang w:val="en-US" w:eastAsia="zh-CN"/>
        </w:rPr>
        <w:t>4.6</w:t>
      </w:r>
      <w:r>
        <w:rPr>
          <w:rFonts w:hint="default" w:cs="Times New Roman"/>
          <w:color w:val="000000"/>
          <w:sz w:val="21"/>
          <w:szCs w:val="21"/>
          <w:lang w:val="en-US" w:eastAsia="zh-CN"/>
        </w:rPr>
        <w:t>.2</w:t>
      </w:r>
      <w:r>
        <w:rPr>
          <w:rFonts w:hint="default"/>
          <w:color w:val="000000"/>
          <w:sz w:val="21"/>
          <w:szCs w:val="21"/>
          <w:lang w:val="en-US" w:eastAsia="zh-CN"/>
        </w:rPr>
        <w:t>.1 研究目的。应计算换流站的总体可靠性</w:t>
      </w:r>
      <w:r>
        <w:rPr>
          <w:rFonts w:hint="eastAsia"/>
          <w:color w:val="000000"/>
          <w:sz w:val="21"/>
          <w:szCs w:val="21"/>
          <w:lang w:val="en-US" w:eastAsia="zh-CN"/>
        </w:rPr>
        <w:t>和可用率</w:t>
      </w:r>
      <w:r>
        <w:rPr>
          <w:rFonts w:hint="default"/>
          <w:color w:val="000000"/>
          <w:sz w:val="21"/>
          <w:szCs w:val="21"/>
          <w:lang w:val="en-US" w:eastAsia="zh-CN"/>
        </w:rPr>
        <w:t>。</w:t>
      </w:r>
    </w:p>
    <w:p w14:paraId="09D1B25D">
      <w:pPr>
        <w:rPr>
          <w:rFonts w:hint="default"/>
          <w:color w:val="000000"/>
          <w:sz w:val="21"/>
          <w:szCs w:val="21"/>
          <w:lang w:val="en-US" w:eastAsia="zh-CN"/>
        </w:rPr>
      </w:pPr>
      <w:r>
        <w:rPr>
          <w:rFonts w:hint="eastAsia" w:cs="Times New Roman"/>
          <w:color w:val="000000"/>
          <w:sz w:val="21"/>
          <w:szCs w:val="21"/>
          <w:lang w:val="en-US" w:eastAsia="zh-CN"/>
        </w:rPr>
        <w:t>4.6</w:t>
      </w:r>
      <w:r>
        <w:rPr>
          <w:rFonts w:hint="default" w:cs="Times New Roman"/>
          <w:color w:val="000000"/>
          <w:sz w:val="21"/>
          <w:szCs w:val="21"/>
          <w:lang w:val="en-US" w:eastAsia="zh-CN"/>
        </w:rPr>
        <w:t>.2</w:t>
      </w:r>
      <w:r>
        <w:rPr>
          <w:rFonts w:hint="default"/>
          <w:color w:val="000000"/>
          <w:sz w:val="21"/>
          <w:szCs w:val="21"/>
          <w:lang w:val="en-US" w:eastAsia="zh-CN"/>
        </w:rPr>
        <w:t>.2 研究要点</w:t>
      </w:r>
    </w:p>
    <w:p w14:paraId="559A2723">
      <w:pPr>
        <w:ind w:firstLine="420"/>
        <w:rPr>
          <w:rFonts w:hint="default" w:ascii="Times New Roman" w:hAnsi="Times New Roman" w:eastAsia="宋体"/>
          <w:sz w:val="21"/>
          <w:szCs w:val="21"/>
          <w:lang w:val="en-US" w:eastAsia="zh-CN"/>
        </w:rPr>
      </w:pPr>
      <w:r>
        <w:rPr>
          <w:rFonts w:hint="default" w:ascii="Times New Roman" w:hAnsi="Times New Roman" w:eastAsia="宋体"/>
          <w:sz w:val="21"/>
          <w:szCs w:val="21"/>
          <w:lang w:val="en-US" w:eastAsia="zh-CN"/>
        </w:rPr>
        <w:t>1 换流站可靠性</w:t>
      </w:r>
      <w:r>
        <w:rPr>
          <w:rFonts w:hint="eastAsia"/>
          <w:sz w:val="21"/>
          <w:szCs w:val="21"/>
          <w:lang w:val="en-US" w:eastAsia="zh-CN"/>
        </w:rPr>
        <w:t>和可用率</w:t>
      </w:r>
      <w:r>
        <w:rPr>
          <w:rFonts w:hint="default" w:ascii="Times New Roman" w:hAnsi="Times New Roman" w:eastAsia="宋体"/>
          <w:sz w:val="21"/>
          <w:szCs w:val="21"/>
          <w:lang w:val="en-US" w:eastAsia="zh-CN"/>
        </w:rPr>
        <w:t>计算应考虑各设备故障率、平均修复时间，应将换流站分为若干子系统，考虑各子系统故障对系统运行的影响。</w:t>
      </w:r>
    </w:p>
    <w:p w14:paraId="7DD47743">
      <w:pPr>
        <w:ind w:firstLine="420"/>
        <w:rPr>
          <w:rFonts w:hint="default" w:ascii="Times New Roman" w:hAnsi="Times New Roman" w:eastAsia="宋体"/>
          <w:sz w:val="21"/>
          <w:szCs w:val="21"/>
          <w:lang w:val="en-US" w:eastAsia="zh-CN"/>
        </w:rPr>
      </w:pPr>
      <w:r>
        <w:rPr>
          <w:rFonts w:hint="default" w:ascii="Times New Roman" w:hAnsi="Times New Roman" w:eastAsia="宋体"/>
          <w:sz w:val="21"/>
          <w:szCs w:val="21"/>
          <w:lang w:val="en-US" w:eastAsia="zh-CN"/>
        </w:rPr>
        <w:t>2 通过可靠性跟踪分析，辨识直流输电工程的薄弱环节；通过可靠性分解分析，获得为达到系统可靠性指标要求的元件可靠性参数。</w:t>
      </w:r>
    </w:p>
    <w:p w14:paraId="0BF80DFF">
      <w:pPr>
        <w:rPr>
          <w:rFonts w:hint="default"/>
          <w:color w:val="000000"/>
          <w:sz w:val="21"/>
          <w:szCs w:val="21"/>
          <w:lang w:val="en-US" w:eastAsia="zh-CN"/>
        </w:rPr>
      </w:pPr>
      <w:r>
        <w:rPr>
          <w:rFonts w:hint="eastAsia" w:cs="Times New Roman"/>
          <w:color w:val="000000"/>
          <w:sz w:val="21"/>
          <w:szCs w:val="21"/>
          <w:lang w:val="en-US" w:eastAsia="zh-CN"/>
        </w:rPr>
        <w:t>4.6</w:t>
      </w:r>
      <w:r>
        <w:rPr>
          <w:rFonts w:hint="default" w:cs="Times New Roman"/>
          <w:color w:val="000000"/>
          <w:sz w:val="21"/>
          <w:szCs w:val="21"/>
          <w:lang w:val="en-US" w:eastAsia="zh-CN"/>
        </w:rPr>
        <w:t>.2</w:t>
      </w:r>
      <w:r>
        <w:rPr>
          <w:rFonts w:hint="default"/>
          <w:color w:val="000000"/>
          <w:sz w:val="21"/>
          <w:szCs w:val="21"/>
          <w:lang w:val="en-US" w:eastAsia="zh-CN"/>
        </w:rPr>
        <w:t>.3 研究结论。应明确换流站可靠性</w:t>
      </w:r>
      <w:r>
        <w:rPr>
          <w:rFonts w:hint="eastAsia"/>
          <w:color w:val="000000"/>
          <w:sz w:val="21"/>
          <w:szCs w:val="21"/>
          <w:lang w:val="en-US" w:eastAsia="zh-CN"/>
        </w:rPr>
        <w:t>和可用率</w:t>
      </w:r>
      <w:r>
        <w:rPr>
          <w:rFonts w:hint="default"/>
          <w:color w:val="000000"/>
          <w:sz w:val="21"/>
          <w:szCs w:val="21"/>
          <w:lang w:val="en-US" w:eastAsia="zh-CN"/>
        </w:rPr>
        <w:t>的计算结果，评价是否满足换流站的可靠性设计指标。</w:t>
      </w:r>
    </w:p>
    <w:p w14:paraId="68BBFDF4">
      <w:pPr>
        <w:outlineLvl w:val="2"/>
        <w:rPr>
          <w:rFonts w:hint="default" w:ascii="Times New Roman" w:hAnsi="Times New Roman" w:eastAsia="宋体" w:cstheme="minorBidi"/>
          <w:color w:val="000000"/>
          <w:sz w:val="21"/>
          <w:szCs w:val="21"/>
          <w:lang w:val="en-US" w:eastAsia="zh-CN"/>
        </w:rPr>
      </w:pPr>
      <w:bookmarkStart w:id="304" w:name="_Toc9643"/>
      <w:r>
        <w:rPr>
          <w:rFonts w:hint="eastAsia" w:cstheme="minorBidi"/>
          <w:color w:val="000000"/>
          <w:sz w:val="21"/>
          <w:szCs w:val="21"/>
          <w:lang w:val="en-US" w:eastAsia="zh-CN"/>
        </w:rPr>
        <w:t>4.6</w:t>
      </w:r>
      <w:r>
        <w:rPr>
          <w:rFonts w:hint="default" w:ascii="Times New Roman" w:hAnsi="Times New Roman" w:eastAsia="宋体" w:cstheme="minorBidi"/>
          <w:color w:val="000000"/>
          <w:sz w:val="21"/>
          <w:szCs w:val="21"/>
          <w:lang w:val="en-US" w:eastAsia="zh-CN"/>
        </w:rPr>
        <w:t>.3 换流站电磁干扰研究</w:t>
      </w:r>
      <w:bookmarkEnd w:id="304"/>
    </w:p>
    <w:p w14:paraId="2400CC22">
      <w:pPr>
        <w:rPr>
          <w:rFonts w:hint="default"/>
          <w:color w:val="000000"/>
          <w:sz w:val="21"/>
          <w:szCs w:val="21"/>
          <w:lang w:val="en-US" w:eastAsia="zh-CN"/>
        </w:rPr>
      </w:pPr>
      <w:r>
        <w:rPr>
          <w:rFonts w:hint="eastAsia" w:cs="Times New Roman"/>
          <w:color w:val="000000"/>
          <w:sz w:val="21"/>
          <w:szCs w:val="21"/>
          <w:lang w:val="en-US" w:eastAsia="zh-CN"/>
        </w:rPr>
        <w:t>4.6</w:t>
      </w:r>
      <w:r>
        <w:rPr>
          <w:rFonts w:hint="default" w:cs="Times New Roman"/>
          <w:color w:val="000000"/>
          <w:sz w:val="21"/>
          <w:szCs w:val="21"/>
          <w:lang w:val="en-US" w:eastAsia="zh-CN"/>
        </w:rPr>
        <w:t>.3</w:t>
      </w:r>
      <w:r>
        <w:rPr>
          <w:rFonts w:hint="default"/>
          <w:color w:val="000000"/>
          <w:sz w:val="21"/>
          <w:szCs w:val="21"/>
          <w:lang w:val="en-US" w:eastAsia="zh-CN"/>
        </w:rPr>
        <w:t>.1 研究目的。应分析换流阀运行引起的持续电磁干扰，评价换流站的电磁干扰水平，并提出抑制措施。</w:t>
      </w:r>
    </w:p>
    <w:p w14:paraId="0244FDF7">
      <w:pPr>
        <w:rPr>
          <w:rFonts w:hint="default"/>
          <w:sz w:val="21"/>
          <w:szCs w:val="21"/>
          <w:lang w:val="en-US" w:eastAsia="zh-CN"/>
        </w:rPr>
      </w:pPr>
      <w:r>
        <w:rPr>
          <w:rFonts w:hint="eastAsia" w:cstheme="minorBidi"/>
          <w:sz w:val="21"/>
          <w:szCs w:val="21"/>
          <w:lang w:val="en-US" w:eastAsia="zh-CN"/>
        </w:rPr>
        <w:t>4.6</w:t>
      </w:r>
      <w:r>
        <w:rPr>
          <w:rFonts w:hint="default" w:cstheme="minorBidi"/>
          <w:sz w:val="21"/>
          <w:szCs w:val="21"/>
          <w:lang w:val="en-US" w:eastAsia="zh-CN"/>
        </w:rPr>
        <w:t>.3</w:t>
      </w:r>
      <w:r>
        <w:rPr>
          <w:rFonts w:hint="default"/>
          <w:sz w:val="21"/>
          <w:szCs w:val="21"/>
          <w:lang w:val="en-US" w:eastAsia="zh-CN"/>
        </w:rPr>
        <w:t>.2 研究要点</w:t>
      </w:r>
    </w:p>
    <w:p w14:paraId="3CE00A91">
      <w:pPr>
        <w:ind w:firstLine="420"/>
        <w:rPr>
          <w:rFonts w:hint="default" w:ascii="Times New Roman" w:hAnsi="Times New Roman" w:eastAsia="宋体"/>
          <w:sz w:val="21"/>
          <w:szCs w:val="21"/>
          <w:lang w:val="en-US" w:eastAsia="zh-CN"/>
        </w:rPr>
      </w:pPr>
      <w:r>
        <w:rPr>
          <w:rFonts w:hint="default" w:ascii="Times New Roman" w:hAnsi="Times New Roman" w:eastAsia="宋体"/>
          <w:sz w:val="21"/>
          <w:szCs w:val="21"/>
          <w:lang w:val="en-US" w:eastAsia="zh-CN"/>
        </w:rPr>
        <w:t>1 采用电磁暂态计算程序作为仿真工具，建立换流站主要设备的宽频等值模型，同时采用等效脉冲描述阀触发时刻电压降落过程。</w:t>
      </w:r>
    </w:p>
    <w:p w14:paraId="2BA16C5F">
      <w:pPr>
        <w:ind w:firstLine="420"/>
        <w:rPr>
          <w:rFonts w:hint="default" w:ascii="Times New Roman" w:hAnsi="Times New Roman" w:eastAsia="宋体"/>
          <w:sz w:val="21"/>
          <w:szCs w:val="21"/>
          <w:lang w:val="en-US" w:eastAsia="zh-CN"/>
        </w:rPr>
      </w:pPr>
      <w:r>
        <w:rPr>
          <w:rFonts w:hint="default" w:ascii="Times New Roman" w:hAnsi="Times New Roman" w:eastAsia="宋体"/>
          <w:sz w:val="21"/>
          <w:szCs w:val="21"/>
          <w:lang w:val="en-US" w:eastAsia="zh-CN"/>
        </w:rPr>
        <w:t>2 研究内容至少包括换流站传导电磁干扰水平分析和PLC电磁干扰水平分析。</w:t>
      </w:r>
    </w:p>
    <w:p w14:paraId="19339163">
      <w:pPr>
        <w:rPr>
          <w:rFonts w:hint="default"/>
          <w:szCs w:val="21"/>
          <w:lang w:val="en-US" w:eastAsia="zh-CN"/>
        </w:rPr>
      </w:pPr>
      <w:r>
        <w:rPr>
          <w:rFonts w:hint="eastAsia" w:cstheme="minorBidi"/>
          <w:szCs w:val="21"/>
          <w:lang w:val="en-US" w:eastAsia="zh-CN"/>
        </w:rPr>
        <w:t>4.6</w:t>
      </w:r>
      <w:r>
        <w:rPr>
          <w:rFonts w:hint="default" w:cstheme="minorBidi"/>
          <w:szCs w:val="21"/>
          <w:lang w:val="en-US" w:eastAsia="zh-CN"/>
        </w:rPr>
        <w:t>.3</w:t>
      </w:r>
      <w:r>
        <w:rPr>
          <w:rFonts w:hint="default"/>
          <w:szCs w:val="21"/>
          <w:lang w:val="en-US" w:eastAsia="zh-CN"/>
        </w:rPr>
        <w:t>.3 研究结论。应提出换流阀运行引起电磁干扰评价结论，若电磁干扰超标应提出抑制措施。</w:t>
      </w:r>
    </w:p>
    <w:p w14:paraId="5A8FDAB1">
      <w:pPr>
        <w:pStyle w:val="3"/>
        <w:rPr>
          <w:rFonts w:hint="default"/>
          <w:lang w:val="en-US" w:eastAsia="zh-CN"/>
        </w:rPr>
      </w:pPr>
      <w:bookmarkStart w:id="305" w:name="_Toc24291"/>
      <w:bookmarkStart w:id="306" w:name="_Toc22824"/>
      <w:bookmarkStart w:id="307" w:name="_Toc17692"/>
      <w:bookmarkStart w:id="308" w:name="_Toc29485"/>
      <w:bookmarkStart w:id="309" w:name="_Toc4587"/>
      <w:bookmarkStart w:id="310" w:name="_Toc5090"/>
      <w:bookmarkStart w:id="311" w:name="_Toc9661"/>
      <w:bookmarkStart w:id="312" w:name="_Toc14241"/>
      <w:bookmarkStart w:id="313" w:name="_Toc11297"/>
      <w:bookmarkStart w:id="314" w:name="_Toc14619"/>
      <w:r>
        <w:rPr>
          <w:rFonts w:hint="eastAsia"/>
          <w:lang w:val="en-US" w:eastAsia="zh-CN"/>
        </w:rPr>
        <w:t>4.7 交直流谐振研究</w:t>
      </w:r>
      <w:bookmarkEnd w:id="288"/>
      <w:bookmarkEnd w:id="289"/>
      <w:bookmarkEnd w:id="290"/>
      <w:bookmarkEnd w:id="291"/>
      <w:bookmarkEnd w:id="305"/>
      <w:bookmarkEnd w:id="306"/>
      <w:bookmarkEnd w:id="307"/>
      <w:bookmarkEnd w:id="308"/>
      <w:bookmarkEnd w:id="309"/>
      <w:bookmarkEnd w:id="310"/>
      <w:bookmarkEnd w:id="311"/>
      <w:bookmarkEnd w:id="312"/>
      <w:bookmarkEnd w:id="313"/>
      <w:bookmarkEnd w:id="314"/>
    </w:p>
    <w:p w14:paraId="334A5207">
      <w:pPr>
        <w:outlineLvl w:val="2"/>
        <w:rPr>
          <w:rFonts w:hint="default" w:ascii="Times New Roman" w:hAnsi="Times New Roman" w:eastAsia="宋体"/>
          <w:color w:val="000000"/>
          <w:sz w:val="21"/>
          <w:szCs w:val="21"/>
          <w:lang w:val="en-US" w:eastAsia="zh-CN"/>
        </w:rPr>
      </w:pPr>
      <w:bookmarkStart w:id="315" w:name="_Toc2123"/>
      <w:r>
        <w:rPr>
          <w:rFonts w:hint="eastAsia"/>
          <w:color w:val="000000"/>
          <w:sz w:val="21"/>
          <w:szCs w:val="21"/>
          <w:lang w:val="en-US" w:eastAsia="zh-CN"/>
        </w:rPr>
        <w:t>4.7</w:t>
      </w:r>
      <w:r>
        <w:rPr>
          <w:rFonts w:hint="default" w:ascii="Times New Roman" w:hAnsi="Times New Roman" w:eastAsia="宋体"/>
          <w:color w:val="000000"/>
          <w:sz w:val="21"/>
          <w:szCs w:val="21"/>
          <w:lang w:val="en-US" w:eastAsia="zh-CN"/>
        </w:rPr>
        <w:t>.1 直流输电系统回路谐振研究</w:t>
      </w:r>
      <w:bookmarkEnd w:id="315"/>
    </w:p>
    <w:p w14:paraId="5173A85B">
      <w:pPr>
        <w:rPr>
          <w:rFonts w:hint="default"/>
          <w:color w:val="000000"/>
          <w:sz w:val="21"/>
          <w:szCs w:val="21"/>
          <w:lang w:val="en-US" w:eastAsia="zh-CN"/>
        </w:rPr>
      </w:pPr>
      <w:r>
        <w:rPr>
          <w:rFonts w:hint="eastAsia"/>
          <w:color w:val="000000"/>
          <w:sz w:val="21"/>
          <w:szCs w:val="21"/>
          <w:lang w:val="en-US" w:eastAsia="zh-CN"/>
        </w:rPr>
        <w:t>4.7</w:t>
      </w:r>
      <w:r>
        <w:rPr>
          <w:rFonts w:hint="default"/>
          <w:color w:val="000000"/>
          <w:sz w:val="21"/>
          <w:szCs w:val="21"/>
          <w:lang w:val="en-US" w:eastAsia="zh-CN"/>
        </w:rPr>
        <w:t>.1.1</w:t>
      </w:r>
      <w:r>
        <w:rPr>
          <w:rFonts w:hint="eastAsia"/>
          <w:color w:val="000000"/>
          <w:sz w:val="21"/>
          <w:szCs w:val="21"/>
          <w:lang w:val="en-US" w:eastAsia="zh-CN"/>
        </w:rPr>
        <w:t xml:space="preserve"> </w:t>
      </w:r>
      <w:r>
        <w:rPr>
          <w:rFonts w:hint="default"/>
          <w:color w:val="000000"/>
          <w:sz w:val="21"/>
          <w:szCs w:val="21"/>
          <w:lang w:val="en-US" w:eastAsia="zh-CN"/>
        </w:rPr>
        <w:t>研究目的。应分析直流输电系统直流侧低频谐振风险，提出有效的风险抑制措施。</w:t>
      </w:r>
    </w:p>
    <w:p w14:paraId="257F27E9">
      <w:pPr>
        <w:rPr>
          <w:rFonts w:hint="default"/>
          <w:color w:val="000000"/>
          <w:sz w:val="21"/>
          <w:szCs w:val="21"/>
          <w:lang w:val="en-US" w:eastAsia="zh-CN"/>
        </w:rPr>
      </w:pPr>
      <w:r>
        <w:rPr>
          <w:rFonts w:hint="eastAsia"/>
          <w:color w:val="000000"/>
          <w:sz w:val="21"/>
          <w:szCs w:val="21"/>
          <w:lang w:val="en-US" w:eastAsia="zh-CN"/>
        </w:rPr>
        <w:t>4.7</w:t>
      </w:r>
      <w:r>
        <w:rPr>
          <w:rFonts w:hint="default"/>
          <w:color w:val="000000"/>
          <w:sz w:val="21"/>
          <w:szCs w:val="21"/>
          <w:lang w:val="en-US" w:eastAsia="zh-CN"/>
        </w:rPr>
        <w:t>.1.2 研究要点</w:t>
      </w:r>
    </w:p>
    <w:p w14:paraId="479F5E21">
      <w:pPr>
        <w:ind w:firstLine="420"/>
        <w:rPr>
          <w:rFonts w:hint="default" w:ascii="Times New Roman" w:hAnsi="Times New Roman" w:eastAsia="宋体"/>
          <w:sz w:val="21"/>
          <w:szCs w:val="21"/>
          <w:lang w:val="en-US" w:eastAsia="zh-CN"/>
        </w:rPr>
      </w:pPr>
      <w:r>
        <w:rPr>
          <w:rFonts w:hint="default" w:ascii="Times New Roman" w:hAnsi="Times New Roman" w:eastAsia="宋体"/>
          <w:sz w:val="21"/>
          <w:szCs w:val="21"/>
          <w:lang w:val="en-US" w:eastAsia="zh-CN"/>
        </w:rPr>
        <w:t>1 重点关注直流侧50Hz、100Hz谐振风险，重点关心直流一次主回路的谐振风险，可不考虑控制系统对一次回路谐振的影响。</w:t>
      </w:r>
    </w:p>
    <w:p w14:paraId="7D883BFA">
      <w:pPr>
        <w:ind w:firstLine="420"/>
        <w:rPr>
          <w:rFonts w:hint="default" w:ascii="Times New Roman" w:hAnsi="Times New Roman" w:eastAsia="宋体"/>
          <w:sz w:val="21"/>
          <w:szCs w:val="21"/>
          <w:lang w:val="en-US" w:eastAsia="zh-CN"/>
        </w:rPr>
      </w:pPr>
      <w:r>
        <w:rPr>
          <w:rFonts w:hint="default" w:ascii="Times New Roman" w:hAnsi="Times New Roman" w:eastAsia="宋体"/>
          <w:sz w:val="21"/>
          <w:szCs w:val="21"/>
          <w:lang w:val="en-US" w:eastAsia="zh-CN"/>
        </w:rPr>
        <w:t>2 谐振的分析应考虑直流输电系统可能的运行方式，针对多端系统，需要考虑各站分别退出的可能运行方式。</w:t>
      </w:r>
    </w:p>
    <w:p w14:paraId="1DF7E8DD">
      <w:pPr>
        <w:ind w:firstLine="420"/>
        <w:rPr>
          <w:rFonts w:hint="default" w:ascii="Times New Roman" w:hAnsi="Times New Roman" w:eastAsia="宋体"/>
          <w:sz w:val="21"/>
          <w:szCs w:val="21"/>
          <w:lang w:val="en-US" w:eastAsia="zh-CN"/>
        </w:rPr>
      </w:pPr>
      <w:r>
        <w:rPr>
          <w:rFonts w:hint="default" w:ascii="Times New Roman" w:hAnsi="Times New Roman" w:eastAsia="宋体"/>
          <w:sz w:val="21"/>
          <w:szCs w:val="21"/>
          <w:lang w:val="en-US" w:eastAsia="zh-CN"/>
        </w:rPr>
        <w:t>3 应保证串联谐振点远离谐振点</w:t>
      </w:r>
      <w:r>
        <w:rPr>
          <w:rFonts w:hint="eastAsia"/>
          <w:sz w:val="21"/>
          <w:szCs w:val="21"/>
          <w:lang w:val="en-US" w:eastAsia="zh-CN"/>
        </w:rPr>
        <w:t>至少</w:t>
      </w:r>
      <w:r>
        <w:rPr>
          <w:rFonts w:hint="default" w:ascii="Times New Roman" w:hAnsi="Times New Roman" w:eastAsia="宋体"/>
          <w:sz w:val="21"/>
          <w:szCs w:val="21"/>
          <w:lang w:val="en-US" w:eastAsia="zh-CN"/>
        </w:rPr>
        <w:t>±6Hz，或者保证阻抗≥</w:t>
      </w:r>
      <w:r>
        <w:rPr>
          <w:rFonts w:hint="eastAsia"/>
          <w:sz w:val="21"/>
          <w:szCs w:val="21"/>
          <w:lang w:val="en-US" w:eastAsia="zh-CN"/>
        </w:rPr>
        <w:t>15</w:t>
      </w:r>
      <w:r>
        <w:rPr>
          <w:rFonts w:hint="default" w:ascii="Times New Roman" w:hAnsi="Times New Roman" w:eastAsia="宋体"/>
          <w:sz w:val="21"/>
          <w:szCs w:val="21"/>
          <w:lang w:val="en-US" w:eastAsia="zh-CN"/>
        </w:rPr>
        <w:t>0欧姆，若无法达到上述要求，可在换流站内配置阻波器等直流阻抗调节设备。</w:t>
      </w:r>
    </w:p>
    <w:p w14:paraId="45A15B3C">
      <w:pPr>
        <w:ind w:firstLine="420"/>
        <w:rPr>
          <w:rFonts w:hint="default" w:ascii="Times New Roman" w:hAnsi="Times New Roman" w:eastAsia="宋体"/>
          <w:sz w:val="21"/>
          <w:szCs w:val="21"/>
          <w:lang w:val="en-US" w:eastAsia="zh-CN"/>
        </w:rPr>
      </w:pPr>
      <w:r>
        <w:rPr>
          <w:rFonts w:hint="default" w:ascii="Times New Roman" w:hAnsi="Times New Roman" w:eastAsia="宋体"/>
          <w:sz w:val="21"/>
          <w:szCs w:val="21"/>
          <w:lang w:val="en-US" w:eastAsia="zh-CN"/>
        </w:rPr>
        <w:t>4 在一次谐振点附近，要求控制系统不提供负阻尼。</w:t>
      </w:r>
    </w:p>
    <w:p w14:paraId="578235D7">
      <w:pPr>
        <w:rPr>
          <w:rFonts w:hint="default"/>
          <w:color w:val="000000"/>
          <w:sz w:val="21"/>
          <w:szCs w:val="21"/>
          <w:lang w:val="en-US" w:eastAsia="zh-CN"/>
        </w:rPr>
      </w:pPr>
      <w:r>
        <w:rPr>
          <w:rFonts w:hint="eastAsia"/>
          <w:color w:val="000000"/>
          <w:sz w:val="21"/>
          <w:szCs w:val="21"/>
          <w:lang w:val="en-US" w:eastAsia="zh-CN"/>
        </w:rPr>
        <w:t>4.7</w:t>
      </w:r>
      <w:r>
        <w:rPr>
          <w:rFonts w:hint="default"/>
          <w:color w:val="000000"/>
          <w:sz w:val="21"/>
          <w:szCs w:val="21"/>
          <w:lang w:val="en-US" w:eastAsia="zh-CN"/>
        </w:rPr>
        <w:t>.1.3 研究结论。应明确直流输电系统低频谐振风险，提出抑制谐振风险的建议。</w:t>
      </w:r>
    </w:p>
    <w:p w14:paraId="2E7E8162">
      <w:pPr>
        <w:outlineLvl w:val="2"/>
        <w:rPr>
          <w:rFonts w:hint="default" w:ascii="Times New Roman" w:hAnsi="Times New Roman" w:eastAsia="宋体"/>
          <w:color w:val="000000"/>
          <w:sz w:val="21"/>
          <w:szCs w:val="21"/>
          <w:lang w:val="en-US" w:eastAsia="zh-CN"/>
        </w:rPr>
      </w:pPr>
      <w:bookmarkStart w:id="316" w:name="_Toc26561"/>
      <w:r>
        <w:rPr>
          <w:rFonts w:hint="eastAsia"/>
          <w:color w:val="000000"/>
          <w:sz w:val="21"/>
          <w:szCs w:val="21"/>
          <w:lang w:val="en-US" w:eastAsia="zh-CN"/>
        </w:rPr>
        <w:t>4.7</w:t>
      </w:r>
      <w:r>
        <w:rPr>
          <w:rFonts w:hint="default" w:ascii="Times New Roman" w:hAnsi="Times New Roman" w:eastAsia="宋体"/>
          <w:color w:val="000000"/>
          <w:sz w:val="21"/>
          <w:szCs w:val="21"/>
          <w:lang w:val="en-US" w:eastAsia="zh-CN"/>
        </w:rPr>
        <w:t>.2 宽频振荡研究</w:t>
      </w:r>
      <w:bookmarkEnd w:id="316"/>
    </w:p>
    <w:p w14:paraId="23629B9E">
      <w:pPr>
        <w:rPr>
          <w:rFonts w:hint="default"/>
          <w:color w:val="000000"/>
          <w:sz w:val="21"/>
          <w:szCs w:val="21"/>
          <w:lang w:val="en-US" w:eastAsia="zh-CN"/>
        </w:rPr>
      </w:pPr>
      <w:r>
        <w:rPr>
          <w:rFonts w:hint="eastAsia"/>
          <w:color w:val="000000"/>
          <w:sz w:val="21"/>
          <w:szCs w:val="21"/>
          <w:lang w:val="en-US" w:eastAsia="zh-CN"/>
        </w:rPr>
        <w:t>4.7</w:t>
      </w:r>
      <w:r>
        <w:rPr>
          <w:rFonts w:hint="default"/>
          <w:color w:val="000000"/>
          <w:sz w:val="21"/>
          <w:szCs w:val="21"/>
          <w:lang w:val="en-US" w:eastAsia="zh-CN"/>
        </w:rPr>
        <w:t>.2.1</w:t>
      </w:r>
      <w:r>
        <w:rPr>
          <w:rFonts w:hint="eastAsia"/>
          <w:color w:val="000000"/>
          <w:sz w:val="21"/>
          <w:szCs w:val="21"/>
          <w:lang w:val="en-US" w:eastAsia="zh-CN"/>
        </w:rPr>
        <w:t xml:space="preserve"> </w:t>
      </w:r>
      <w:r>
        <w:rPr>
          <w:rFonts w:hint="default"/>
          <w:color w:val="000000"/>
          <w:sz w:val="21"/>
          <w:szCs w:val="21"/>
          <w:lang w:val="en-US" w:eastAsia="zh-CN"/>
        </w:rPr>
        <w:t>研究目的。重点针对柔性直流开展。</w:t>
      </w:r>
      <w:r>
        <w:rPr>
          <w:rFonts w:hint="eastAsia"/>
          <w:color w:val="000000"/>
          <w:sz w:val="21"/>
          <w:szCs w:val="21"/>
          <w:lang w:val="en-US" w:eastAsia="zh-CN"/>
        </w:rPr>
        <w:t>应</w:t>
      </w:r>
      <w:r>
        <w:rPr>
          <w:rFonts w:hint="default"/>
          <w:color w:val="000000"/>
          <w:sz w:val="21"/>
          <w:szCs w:val="21"/>
          <w:lang w:val="en-US" w:eastAsia="zh-CN"/>
        </w:rPr>
        <w:t>确定柔性直流换流站与交流大电网之间的宽频谐振风险，包括次超同步同步风险与高频谐振风险，给出谐振抑制措施。</w:t>
      </w:r>
    </w:p>
    <w:p w14:paraId="550DF6BB">
      <w:pPr>
        <w:rPr>
          <w:rFonts w:hint="default"/>
          <w:color w:val="000000"/>
          <w:sz w:val="21"/>
          <w:szCs w:val="21"/>
          <w:lang w:val="en-US" w:eastAsia="zh-CN"/>
        </w:rPr>
      </w:pPr>
      <w:r>
        <w:rPr>
          <w:rFonts w:hint="eastAsia"/>
          <w:color w:val="000000"/>
          <w:sz w:val="21"/>
          <w:szCs w:val="21"/>
          <w:lang w:val="en-US" w:eastAsia="zh-CN"/>
        </w:rPr>
        <w:t>4.7</w:t>
      </w:r>
      <w:r>
        <w:rPr>
          <w:rFonts w:hint="default"/>
          <w:color w:val="000000"/>
          <w:sz w:val="21"/>
          <w:szCs w:val="21"/>
          <w:lang w:val="en-US" w:eastAsia="zh-CN"/>
        </w:rPr>
        <w:t>.2.2 研究要点</w:t>
      </w:r>
    </w:p>
    <w:p w14:paraId="3FCA6F53">
      <w:pPr>
        <w:ind w:firstLine="420"/>
        <w:rPr>
          <w:rFonts w:hint="default" w:ascii="Times New Roman" w:hAnsi="Times New Roman" w:eastAsia="宋体"/>
          <w:sz w:val="21"/>
          <w:szCs w:val="21"/>
          <w:lang w:val="en-US" w:eastAsia="zh-CN"/>
        </w:rPr>
      </w:pPr>
      <w:r>
        <w:rPr>
          <w:rFonts w:hint="default" w:ascii="Times New Roman" w:hAnsi="Times New Roman" w:eastAsia="宋体"/>
          <w:sz w:val="21"/>
          <w:szCs w:val="21"/>
          <w:lang w:val="en-US" w:eastAsia="zh-CN"/>
        </w:rPr>
        <w:t>1 研究基于典型交流运行方式的机电暂态数据，至少包括投产年、规划年，至少包括夏大和冬小运行方式，应至少包括近区交流N-</w:t>
      </w:r>
      <w:r>
        <w:rPr>
          <w:rFonts w:hint="eastAsia"/>
          <w:sz w:val="21"/>
          <w:szCs w:val="21"/>
          <w:lang w:val="en-US" w:eastAsia="zh-CN"/>
        </w:rPr>
        <w:t>2</w:t>
      </w:r>
      <w:r>
        <w:rPr>
          <w:rFonts w:hint="default" w:ascii="Times New Roman" w:hAnsi="Times New Roman" w:eastAsia="宋体"/>
          <w:sz w:val="21"/>
          <w:szCs w:val="21"/>
          <w:lang w:val="en-US" w:eastAsia="zh-CN"/>
        </w:rPr>
        <w:t>故障，需要给出典型运行方式下1Hz-2500Hz谐波阻抗的幅值与相角。</w:t>
      </w:r>
    </w:p>
    <w:p w14:paraId="39A74EBA">
      <w:pPr>
        <w:ind w:firstLine="420"/>
        <w:rPr>
          <w:rFonts w:hint="default" w:ascii="Times New Roman" w:hAnsi="Times New Roman" w:eastAsia="宋体"/>
          <w:sz w:val="21"/>
          <w:szCs w:val="21"/>
          <w:lang w:val="en-US" w:eastAsia="zh-CN"/>
        </w:rPr>
      </w:pPr>
      <w:r>
        <w:rPr>
          <w:rFonts w:hint="default" w:ascii="Times New Roman" w:hAnsi="Times New Roman" w:eastAsia="宋体"/>
          <w:sz w:val="21"/>
          <w:szCs w:val="21"/>
          <w:lang w:val="en-US" w:eastAsia="zh-CN"/>
        </w:rPr>
        <w:t>2 需对柔性直流不同运行方式、不同投入阀组方式下的等值阻抗进行扫描，给出1Hz-2500Hz谐波阻抗的幅值与相角。</w:t>
      </w:r>
    </w:p>
    <w:p w14:paraId="7C77ECD9">
      <w:pPr>
        <w:ind w:firstLine="420"/>
        <w:rPr>
          <w:rFonts w:hint="default" w:ascii="Times New Roman" w:hAnsi="Times New Roman" w:eastAsia="宋体"/>
          <w:sz w:val="21"/>
          <w:szCs w:val="21"/>
          <w:lang w:val="en-US" w:eastAsia="zh-CN"/>
        </w:rPr>
      </w:pPr>
      <w:r>
        <w:rPr>
          <w:rFonts w:hint="default" w:ascii="Times New Roman" w:hAnsi="Times New Roman" w:eastAsia="宋体"/>
          <w:sz w:val="21"/>
          <w:szCs w:val="21"/>
          <w:lang w:val="en-US" w:eastAsia="zh-CN"/>
        </w:rPr>
        <w:t>3 结合交流系统谐波阻抗与直流系统谐波阻抗，根据稳定性判据对谐振风险进行判定。</w:t>
      </w:r>
    </w:p>
    <w:p w14:paraId="26CC13FD">
      <w:pPr>
        <w:ind w:firstLine="420"/>
        <w:rPr>
          <w:rFonts w:hint="default" w:ascii="Times New Roman" w:hAnsi="Times New Roman" w:eastAsia="宋体"/>
          <w:sz w:val="21"/>
          <w:szCs w:val="21"/>
          <w:lang w:val="en-US" w:eastAsia="zh-CN"/>
        </w:rPr>
      </w:pPr>
      <w:r>
        <w:rPr>
          <w:rFonts w:hint="default" w:ascii="Times New Roman" w:hAnsi="Times New Roman" w:eastAsia="宋体"/>
          <w:sz w:val="21"/>
          <w:szCs w:val="21"/>
          <w:lang w:val="en-US" w:eastAsia="zh-CN"/>
        </w:rPr>
        <w:t>4 针对存在谐振风险的工况应给出风险抑制措施，包括但不限于附加控制、自适应控制、</w:t>
      </w:r>
      <w:r>
        <w:rPr>
          <w:rFonts w:hint="eastAsia"/>
          <w:sz w:val="21"/>
          <w:szCs w:val="21"/>
          <w:lang w:val="en-US" w:eastAsia="zh-CN"/>
        </w:rPr>
        <w:t>幅相校正器/</w:t>
      </w:r>
      <w:r>
        <w:rPr>
          <w:rFonts w:hint="default" w:ascii="Times New Roman" w:hAnsi="Times New Roman" w:eastAsia="宋体"/>
          <w:sz w:val="21"/>
          <w:szCs w:val="21"/>
          <w:lang w:val="en-US" w:eastAsia="zh-CN"/>
        </w:rPr>
        <w:t>阻抗适配器等措施。并对提出的措施进行风险验证，确保能够消除谐振风险。</w:t>
      </w:r>
    </w:p>
    <w:p w14:paraId="6877D5FB">
      <w:pPr>
        <w:rPr>
          <w:rFonts w:hint="default"/>
          <w:color w:val="000000"/>
          <w:sz w:val="21"/>
          <w:szCs w:val="21"/>
          <w:lang w:val="en-US" w:eastAsia="zh-CN"/>
        </w:rPr>
      </w:pPr>
      <w:r>
        <w:rPr>
          <w:rFonts w:hint="eastAsia"/>
          <w:color w:val="000000"/>
          <w:sz w:val="21"/>
          <w:szCs w:val="21"/>
          <w:lang w:val="en-US" w:eastAsia="zh-CN"/>
        </w:rPr>
        <w:t>4.7</w:t>
      </w:r>
      <w:r>
        <w:rPr>
          <w:rFonts w:hint="default"/>
          <w:color w:val="000000"/>
          <w:sz w:val="21"/>
          <w:szCs w:val="21"/>
          <w:lang w:val="en-US" w:eastAsia="zh-CN"/>
        </w:rPr>
        <w:t>.2.3 研究结论。</w:t>
      </w:r>
      <w:r>
        <w:rPr>
          <w:rFonts w:hint="eastAsia"/>
          <w:color w:val="000000"/>
          <w:sz w:val="21"/>
          <w:szCs w:val="21"/>
          <w:lang w:val="en-US" w:eastAsia="zh-CN"/>
        </w:rPr>
        <w:t>应</w:t>
      </w:r>
      <w:r>
        <w:rPr>
          <w:rFonts w:hint="default"/>
          <w:color w:val="000000"/>
          <w:sz w:val="21"/>
          <w:szCs w:val="21"/>
          <w:lang w:val="en-US" w:eastAsia="zh-CN"/>
        </w:rPr>
        <w:t>明确不同运行方式下的谐振风险与谐振抑制措施。</w:t>
      </w:r>
    </w:p>
    <w:p w14:paraId="3BB0E1B0">
      <w:pPr>
        <w:outlineLvl w:val="2"/>
        <w:rPr>
          <w:rFonts w:hint="default" w:ascii="Times New Roman" w:hAnsi="Times New Roman" w:eastAsia="宋体"/>
          <w:color w:val="000000"/>
          <w:sz w:val="21"/>
          <w:szCs w:val="21"/>
          <w:lang w:val="en-US" w:eastAsia="zh-CN"/>
        </w:rPr>
      </w:pPr>
      <w:bookmarkStart w:id="317" w:name="_Toc26028"/>
      <w:r>
        <w:rPr>
          <w:rFonts w:hint="eastAsia"/>
          <w:color w:val="000000"/>
          <w:sz w:val="21"/>
          <w:szCs w:val="21"/>
          <w:lang w:val="en-US" w:eastAsia="zh-CN"/>
        </w:rPr>
        <w:t>4.7</w:t>
      </w:r>
      <w:r>
        <w:rPr>
          <w:rFonts w:hint="default" w:ascii="Times New Roman" w:hAnsi="Times New Roman" w:eastAsia="宋体"/>
          <w:color w:val="000000"/>
          <w:sz w:val="21"/>
          <w:szCs w:val="21"/>
          <w:lang w:val="en-US" w:eastAsia="zh-CN"/>
        </w:rPr>
        <w:t>.3 阻抗适配器</w:t>
      </w:r>
      <w:r>
        <w:rPr>
          <w:rFonts w:hint="eastAsia"/>
          <w:color w:val="000000"/>
          <w:sz w:val="21"/>
          <w:szCs w:val="21"/>
          <w:lang w:val="en-US" w:eastAsia="zh-CN"/>
        </w:rPr>
        <w:t>/</w:t>
      </w:r>
      <w:r>
        <w:rPr>
          <w:rFonts w:hint="default" w:ascii="Times New Roman" w:hAnsi="Times New Roman" w:eastAsia="宋体"/>
          <w:color w:val="000000"/>
          <w:sz w:val="21"/>
          <w:szCs w:val="21"/>
          <w:lang w:val="en-US" w:eastAsia="zh-CN"/>
        </w:rPr>
        <w:t>幅相校正器参数研究</w:t>
      </w:r>
      <w:bookmarkEnd w:id="317"/>
    </w:p>
    <w:p w14:paraId="7EA3D73A">
      <w:pPr>
        <w:rPr>
          <w:rFonts w:hint="default"/>
          <w:color w:val="000000"/>
          <w:sz w:val="21"/>
          <w:szCs w:val="21"/>
          <w:lang w:val="en-US" w:eastAsia="zh-CN"/>
        </w:rPr>
      </w:pPr>
      <w:r>
        <w:rPr>
          <w:rFonts w:hint="eastAsia"/>
          <w:color w:val="000000"/>
          <w:sz w:val="21"/>
          <w:szCs w:val="21"/>
          <w:lang w:val="en-US" w:eastAsia="zh-CN"/>
        </w:rPr>
        <w:t>4.7</w:t>
      </w:r>
      <w:r>
        <w:rPr>
          <w:rFonts w:hint="default"/>
          <w:color w:val="000000"/>
          <w:sz w:val="21"/>
          <w:szCs w:val="21"/>
          <w:lang w:val="en-US" w:eastAsia="zh-CN"/>
        </w:rPr>
        <w:t>.3.1</w:t>
      </w:r>
      <w:r>
        <w:rPr>
          <w:rFonts w:hint="eastAsia"/>
          <w:color w:val="000000"/>
          <w:sz w:val="21"/>
          <w:szCs w:val="21"/>
          <w:lang w:val="en-US" w:eastAsia="zh-CN"/>
        </w:rPr>
        <w:t xml:space="preserve"> </w:t>
      </w:r>
      <w:r>
        <w:rPr>
          <w:rFonts w:hint="default"/>
          <w:color w:val="000000"/>
          <w:sz w:val="21"/>
          <w:szCs w:val="21"/>
          <w:lang w:val="en-US" w:eastAsia="zh-CN"/>
        </w:rPr>
        <w:t>研究目的。</w:t>
      </w:r>
      <w:r>
        <w:rPr>
          <w:rFonts w:hint="eastAsia"/>
          <w:color w:val="000000"/>
          <w:sz w:val="21"/>
          <w:szCs w:val="21"/>
          <w:lang w:val="en-US" w:eastAsia="zh-CN"/>
        </w:rPr>
        <w:t>应</w:t>
      </w:r>
      <w:r>
        <w:rPr>
          <w:rFonts w:hint="default"/>
          <w:color w:val="000000"/>
          <w:sz w:val="21"/>
          <w:szCs w:val="21"/>
          <w:lang w:val="en-US" w:eastAsia="zh-CN"/>
        </w:rPr>
        <w:t>确定阻抗适配器</w:t>
      </w:r>
      <w:r>
        <w:rPr>
          <w:rFonts w:hint="eastAsia"/>
          <w:sz w:val="21"/>
          <w:szCs w:val="21"/>
          <w:lang w:val="en-US" w:eastAsia="zh-CN"/>
        </w:rPr>
        <w:t>/幅相校正器</w:t>
      </w:r>
      <w:r>
        <w:rPr>
          <w:rFonts w:hint="default"/>
          <w:color w:val="000000"/>
          <w:sz w:val="21"/>
          <w:szCs w:val="21"/>
          <w:lang w:val="en-US" w:eastAsia="zh-CN"/>
        </w:rPr>
        <w:t>各设备的参数要求。</w:t>
      </w:r>
    </w:p>
    <w:p w14:paraId="3852A8FE">
      <w:pPr>
        <w:rPr>
          <w:rFonts w:hint="default"/>
          <w:color w:val="000000"/>
          <w:sz w:val="21"/>
          <w:szCs w:val="21"/>
          <w:lang w:val="en-US" w:eastAsia="zh-CN"/>
        </w:rPr>
      </w:pPr>
      <w:r>
        <w:rPr>
          <w:rFonts w:hint="eastAsia"/>
          <w:color w:val="000000"/>
          <w:sz w:val="21"/>
          <w:szCs w:val="21"/>
          <w:lang w:val="en-US" w:eastAsia="zh-CN"/>
        </w:rPr>
        <w:t>4.7</w:t>
      </w:r>
      <w:r>
        <w:rPr>
          <w:rFonts w:hint="default"/>
          <w:color w:val="000000"/>
          <w:sz w:val="21"/>
          <w:szCs w:val="21"/>
          <w:lang w:val="en-US" w:eastAsia="zh-CN"/>
        </w:rPr>
        <w:t>.3.2 研究要点</w:t>
      </w:r>
    </w:p>
    <w:p w14:paraId="495BCDFE">
      <w:pPr>
        <w:ind w:firstLine="420"/>
        <w:rPr>
          <w:rFonts w:hint="default" w:ascii="Times New Roman" w:hAnsi="Times New Roman" w:eastAsia="宋体"/>
          <w:sz w:val="21"/>
          <w:szCs w:val="21"/>
          <w:lang w:val="en-US" w:eastAsia="zh-CN"/>
        </w:rPr>
      </w:pPr>
      <w:r>
        <w:rPr>
          <w:rFonts w:hint="default" w:ascii="Times New Roman" w:hAnsi="Times New Roman" w:eastAsia="宋体"/>
          <w:sz w:val="21"/>
          <w:szCs w:val="21"/>
          <w:lang w:val="en-US" w:eastAsia="zh-CN"/>
        </w:rPr>
        <w:t>1 应充分考虑近区交流系统背景谐波对阻抗适配器定值的影响，尤其是大规模新能源外送系统，要充分考虑新能源发射谐波对阻抗适配器定值的影响。</w:t>
      </w:r>
    </w:p>
    <w:p w14:paraId="34B4FD20">
      <w:pPr>
        <w:ind w:firstLine="420"/>
        <w:rPr>
          <w:rFonts w:hint="default" w:ascii="Times New Roman" w:hAnsi="Times New Roman" w:eastAsia="宋体"/>
          <w:sz w:val="21"/>
          <w:szCs w:val="21"/>
          <w:lang w:val="en-US" w:eastAsia="zh-CN"/>
        </w:rPr>
      </w:pPr>
      <w:r>
        <w:rPr>
          <w:rFonts w:hint="default" w:ascii="Times New Roman" w:hAnsi="Times New Roman" w:eastAsia="宋体"/>
          <w:sz w:val="21"/>
          <w:szCs w:val="21"/>
          <w:lang w:val="en-US" w:eastAsia="zh-CN"/>
        </w:rPr>
        <w:t>2 根据近区交流系统谐波阻抗、背景谐波以及阻抗适配器</w:t>
      </w:r>
      <w:r>
        <w:rPr>
          <w:rFonts w:hint="eastAsia"/>
          <w:sz w:val="21"/>
          <w:szCs w:val="21"/>
          <w:lang w:val="en-US" w:eastAsia="zh-CN"/>
        </w:rPr>
        <w:t>/幅相校正器</w:t>
      </w:r>
      <w:r>
        <w:rPr>
          <w:rFonts w:hint="default" w:ascii="Times New Roman" w:hAnsi="Times New Roman" w:eastAsia="宋体"/>
          <w:sz w:val="21"/>
          <w:szCs w:val="21"/>
          <w:lang w:val="en-US" w:eastAsia="zh-CN"/>
        </w:rPr>
        <w:t>配置，确定换流站的阻抗适配器的稳定定值要求，包括各设备的谐波电压与谐波电流频谱，同时要提出各设备用于噪声计算的谐波电流频谱。</w:t>
      </w:r>
    </w:p>
    <w:p w14:paraId="537538DF">
      <w:pPr>
        <w:ind w:firstLine="420"/>
        <w:rPr>
          <w:rFonts w:hint="default" w:ascii="Times New Roman" w:hAnsi="Times New Roman" w:eastAsia="宋体"/>
          <w:sz w:val="21"/>
          <w:szCs w:val="21"/>
          <w:lang w:val="en-US" w:eastAsia="zh-CN"/>
        </w:rPr>
      </w:pPr>
      <w:r>
        <w:rPr>
          <w:rFonts w:hint="default" w:ascii="Times New Roman" w:hAnsi="Times New Roman" w:eastAsia="宋体"/>
          <w:sz w:val="21"/>
          <w:szCs w:val="21"/>
          <w:lang w:val="en-US" w:eastAsia="zh-CN"/>
        </w:rPr>
        <w:t>3 考虑阻抗适配器各故障条件下的暂态定值要求，至少应考虑的工况包括：交流系统单相接地、交流系统三相接地、直流闭锁甩负荷、交流母线操作冲击波、滤波器投入等工况。</w:t>
      </w:r>
    </w:p>
    <w:p w14:paraId="388896F8">
      <w:pPr>
        <w:rPr>
          <w:rFonts w:hint="default"/>
          <w:color w:val="000000"/>
          <w:sz w:val="21"/>
          <w:szCs w:val="21"/>
          <w:lang w:val="en-US" w:eastAsia="zh-CN"/>
        </w:rPr>
      </w:pPr>
      <w:r>
        <w:rPr>
          <w:rFonts w:hint="eastAsia"/>
          <w:color w:val="000000"/>
          <w:sz w:val="21"/>
          <w:szCs w:val="21"/>
          <w:lang w:val="en-US" w:eastAsia="zh-CN"/>
        </w:rPr>
        <w:t>4.7</w:t>
      </w:r>
      <w:r>
        <w:rPr>
          <w:rFonts w:hint="default"/>
          <w:color w:val="000000"/>
          <w:sz w:val="21"/>
          <w:szCs w:val="21"/>
          <w:lang w:val="en-US" w:eastAsia="zh-CN"/>
        </w:rPr>
        <w:t>.3.3 研究结论。</w:t>
      </w:r>
      <w:r>
        <w:rPr>
          <w:rFonts w:hint="eastAsia"/>
          <w:color w:val="000000"/>
          <w:sz w:val="21"/>
          <w:szCs w:val="21"/>
          <w:lang w:val="en-US" w:eastAsia="zh-CN"/>
        </w:rPr>
        <w:t>应</w:t>
      </w:r>
      <w:r>
        <w:rPr>
          <w:rFonts w:hint="default"/>
          <w:color w:val="000000"/>
          <w:sz w:val="21"/>
          <w:szCs w:val="21"/>
          <w:lang w:val="en-US" w:eastAsia="zh-CN"/>
        </w:rPr>
        <w:t>明确阻抗适配器</w:t>
      </w:r>
      <w:r>
        <w:rPr>
          <w:rFonts w:hint="eastAsia"/>
          <w:sz w:val="21"/>
          <w:szCs w:val="21"/>
          <w:lang w:val="en-US" w:eastAsia="zh-CN"/>
        </w:rPr>
        <w:t>/幅相校正器</w:t>
      </w:r>
      <w:r>
        <w:rPr>
          <w:rFonts w:hint="default"/>
          <w:color w:val="000000"/>
          <w:sz w:val="21"/>
          <w:szCs w:val="21"/>
          <w:lang w:val="en-US" w:eastAsia="zh-CN"/>
        </w:rPr>
        <w:t>各设备的稳态定值要求与暂态定值要求。</w:t>
      </w:r>
    </w:p>
    <w:p w14:paraId="2BD02ADD">
      <w:pPr>
        <w:pStyle w:val="3"/>
        <w:rPr>
          <w:rFonts w:hint="default"/>
          <w:lang w:val="en-US" w:eastAsia="zh-CN"/>
        </w:rPr>
      </w:pPr>
      <w:bookmarkStart w:id="318" w:name="_Toc241"/>
      <w:bookmarkStart w:id="319" w:name="_Toc16534"/>
      <w:bookmarkStart w:id="320" w:name="_Toc19499"/>
      <w:bookmarkStart w:id="321" w:name="_Toc16882"/>
      <w:bookmarkStart w:id="322" w:name="_Toc729"/>
      <w:bookmarkStart w:id="323" w:name="_Toc16379"/>
      <w:bookmarkStart w:id="324" w:name="_Toc13578"/>
      <w:bookmarkStart w:id="325" w:name="_Toc29190"/>
      <w:bookmarkStart w:id="326" w:name="_Toc3195"/>
      <w:bookmarkStart w:id="327" w:name="_Toc17441"/>
      <w:bookmarkStart w:id="328" w:name="_Toc2202"/>
      <w:bookmarkStart w:id="329" w:name="_Toc24756"/>
      <w:bookmarkStart w:id="330" w:name="_Toc10451"/>
      <w:bookmarkStart w:id="331" w:name="_Toc6689"/>
      <w:r>
        <w:rPr>
          <w:rFonts w:hint="eastAsia"/>
          <w:lang w:val="en-US" w:eastAsia="zh-CN"/>
        </w:rPr>
        <w:t>4.8</w:t>
      </w:r>
      <w:r>
        <w:rPr>
          <w:rFonts w:hint="default"/>
          <w:lang w:val="en-US" w:eastAsia="zh-CN"/>
        </w:rPr>
        <w:t xml:space="preserve"> 交直流故障穿越研究</w:t>
      </w:r>
      <w:bookmarkEnd w:id="318"/>
      <w:bookmarkEnd w:id="319"/>
      <w:bookmarkEnd w:id="320"/>
      <w:bookmarkEnd w:id="321"/>
      <w:bookmarkEnd w:id="322"/>
      <w:bookmarkEnd w:id="323"/>
      <w:bookmarkEnd w:id="324"/>
      <w:bookmarkEnd w:id="325"/>
      <w:bookmarkEnd w:id="326"/>
      <w:bookmarkEnd w:id="327"/>
      <w:bookmarkEnd w:id="328"/>
    </w:p>
    <w:bookmarkEnd w:id="329"/>
    <w:bookmarkEnd w:id="330"/>
    <w:bookmarkEnd w:id="331"/>
    <w:p w14:paraId="2E74BBE9">
      <w:pPr>
        <w:outlineLvl w:val="2"/>
        <w:rPr>
          <w:rFonts w:hint="default" w:ascii="Times New Roman" w:hAnsi="Times New Roman" w:eastAsia="宋体"/>
          <w:color w:val="000000"/>
          <w:szCs w:val="21"/>
          <w:lang w:val="en-US" w:eastAsia="zh-CN"/>
        </w:rPr>
      </w:pPr>
      <w:bookmarkStart w:id="332" w:name="_Toc15470"/>
      <w:r>
        <w:rPr>
          <w:rFonts w:hint="eastAsia"/>
          <w:color w:val="000000"/>
          <w:szCs w:val="21"/>
          <w:lang w:val="en-US" w:eastAsia="zh-CN"/>
        </w:rPr>
        <w:t>4.8</w:t>
      </w:r>
      <w:r>
        <w:rPr>
          <w:rFonts w:hint="default" w:ascii="Times New Roman" w:hAnsi="Times New Roman" w:eastAsia="宋体"/>
          <w:color w:val="000000"/>
          <w:szCs w:val="21"/>
          <w:lang w:val="en-US" w:eastAsia="zh-CN"/>
        </w:rPr>
        <w:t>.1 送端交流故障穿越研究</w:t>
      </w:r>
      <w:bookmarkEnd w:id="332"/>
    </w:p>
    <w:p w14:paraId="14DFDA65">
      <w:pPr>
        <w:rPr>
          <w:rFonts w:hint="default"/>
          <w:color w:val="000000"/>
          <w:sz w:val="21"/>
          <w:szCs w:val="21"/>
          <w:lang w:val="en-US" w:eastAsia="zh-CN"/>
        </w:rPr>
      </w:pPr>
      <w:r>
        <w:rPr>
          <w:rFonts w:hint="eastAsia"/>
          <w:color w:val="000000"/>
          <w:sz w:val="21"/>
          <w:szCs w:val="21"/>
          <w:lang w:val="en-US" w:eastAsia="zh-CN"/>
        </w:rPr>
        <w:t>4.8</w:t>
      </w:r>
      <w:r>
        <w:rPr>
          <w:rFonts w:hint="default"/>
          <w:color w:val="000000"/>
          <w:sz w:val="21"/>
          <w:szCs w:val="21"/>
          <w:lang w:val="en-US" w:eastAsia="zh-CN"/>
        </w:rPr>
        <w:t>.1.1 研究目的。</w:t>
      </w:r>
      <w:r>
        <w:rPr>
          <w:rFonts w:hint="eastAsia"/>
          <w:color w:val="000000"/>
          <w:sz w:val="21"/>
          <w:szCs w:val="21"/>
          <w:lang w:val="en-US" w:eastAsia="zh-CN"/>
        </w:rPr>
        <w:t>应</w:t>
      </w:r>
      <w:r>
        <w:rPr>
          <w:rFonts w:hint="default"/>
          <w:color w:val="000000"/>
          <w:sz w:val="21"/>
          <w:szCs w:val="21"/>
          <w:lang w:val="en-US" w:eastAsia="zh-CN"/>
        </w:rPr>
        <w:t>通过研究送端交流系统故障特性，提出适用于本工程的交流故障穿越措施。主要针对送端为高比例新能源系统。</w:t>
      </w:r>
    </w:p>
    <w:p w14:paraId="72B7C485">
      <w:pPr>
        <w:rPr>
          <w:rFonts w:hint="default"/>
          <w:color w:val="000000"/>
          <w:sz w:val="21"/>
          <w:szCs w:val="21"/>
          <w:lang w:val="en-US" w:eastAsia="zh-CN"/>
        </w:rPr>
      </w:pPr>
      <w:r>
        <w:rPr>
          <w:rFonts w:hint="eastAsia"/>
          <w:color w:val="000000"/>
          <w:sz w:val="21"/>
          <w:szCs w:val="21"/>
          <w:lang w:val="en-US" w:eastAsia="zh-CN"/>
        </w:rPr>
        <w:t>4.8</w:t>
      </w:r>
      <w:r>
        <w:rPr>
          <w:rFonts w:hint="default"/>
          <w:color w:val="000000"/>
          <w:sz w:val="21"/>
          <w:szCs w:val="21"/>
          <w:lang w:val="en-US" w:eastAsia="zh-CN"/>
        </w:rPr>
        <w:t>.1.2 研究要点</w:t>
      </w:r>
    </w:p>
    <w:p w14:paraId="70284DD2">
      <w:pPr>
        <w:ind w:firstLine="420"/>
        <w:rPr>
          <w:rFonts w:hint="default" w:ascii="Times New Roman" w:hAnsi="Times New Roman" w:eastAsia="宋体"/>
          <w:sz w:val="21"/>
          <w:szCs w:val="21"/>
          <w:lang w:val="en-US" w:eastAsia="zh-CN"/>
        </w:rPr>
      </w:pPr>
      <w:r>
        <w:rPr>
          <w:rFonts w:hint="default" w:ascii="Times New Roman" w:hAnsi="Times New Roman" w:eastAsia="宋体"/>
          <w:sz w:val="21"/>
          <w:szCs w:val="21"/>
          <w:lang w:val="en-US" w:eastAsia="zh-CN"/>
        </w:rPr>
        <w:t>1 应考虑送端高比例新能源系统的网络结构、规模以及基本的控制方式、高低压穿越策略。</w:t>
      </w:r>
    </w:p>
    <w:p w14:paraId="6E46C230">
      <w:pPr>
        <w:ind w:firstLine="420"/>
        <w:rPr>
          <w:rFonts w:hint="default" w:ascii="Times New Roman" w:hAnsi="Times New Roman" w:eastAsia="宋体"/>
          <w:sz w:val="21"/>
          <w:szCs w:val="21"/>
          <w:lang w:val="en-US" w:eastAsia="zh-CN"/>
        </w:rPr>
      </w:pPr>
      <w:r>
        <w:rPr>
          <w:rFonts w:hint="default" w:ascii="Times New Roman" w:hAnsi="Times New Roman" w:eastAsia="宋体"/>
          <w:sz w:val="21"/>
          <w:szCs w:val="21"/>
          <w:lang w:val="en-US" w:eastAsia="zh-CN"/>
        </w:rPr>
        <w:t>2 应考虑送端交流系统不同的运行方式，至少包括全接线与N-1运行方式，应考虑送端系统典型位置的三相金属性接地故障、单相金属性接地故障、两相金属性接地故障，同时应该考虑严苛故障后线路N-1故障。</w:t>
      </w:r>
    </w:p>
    <w:p w14:paraId="53446233">
      <w:pPr>
        <w:ind w:firstLine="420"/>
        <w:rPr>
          <w:rFonts w:hint="default" w:ascii="Times New Roman" w:hAnsi="Times New Roman" w:eastAsia="宋体"/>
          <w:sz w:val="21"/>
          <w:szCs w:val="21"/>
          <w:lang w:val="en-US" w:eastAsia="zh-CN"/>
        </w:rPr>
      </w:pPr>
      <w:r>
        <w:rPr>
          <w:rFonts w:hint="default" w:ascii="Times New Roman" w:hAnsi="Times New Roman" w:eastAsia="宋体"/>
          <w:sz w:val="21"/>
          <w:szCs w:val="21"/>
          <w:lang w:val="en-US" w:eastAsia="zh-CN"/>
        </w:rPr>
        <w:t>3 应关注送端系统故障以及恢复过程中的系统恢复稳定的能力以及系统的过电压水平，同时明确直流输电系统换流阀模块过电压的水平，确定系统能够实现故障的顺利穿越。</w:t>
      </w:r>
    </w:p>
    <w:p w14:paraId="508692EB">
      <w:pPr>
        <w:ind w:firstLine="420"/>
        <w:rPr>
          <w:rFonts w:hint="default" w:ascii="Times New Roman" w:hAnsi="Times New Roman" w:eastAsia="宋体"/>
          <w:sz w:val="21"/>
          <w:szCs w:val="21"/>
          <w:lang w:val="en-US" w:eastAsia="zh-CN"/>
        </w:rPr>
      </w:pPr>
      <w:r>
        <w:rPr>
          <w:rFonts w:hint="default" w:ascii="Times New Roman" w:hAnsi="Times New Roman" w:eastAsia="宋体"/>
          <w:sz w:val="21"/>
          <w:szCs w:val="21"/>
          <w:lang w:val="en-US" w:eastAsia="zh-CN"/>
        </w:rPr>
        <w:t>4 应根据系统的穿越特性，提出对送端新能源系统以及直流输电系统故障穿越策略要求。</w:t>
      </w:r>
    </w:p>
    <w:p w14:paraId="5EA825EE">
      <w:pPr>
        <w:rPr>
          <w:rFonts w:hint="default"/>
          <w:color w:val="000000"/>
          <w:sz w:val="21"/>
          <w:szCs w:val="21"/>
          <w:lang w:val="en-US" w:eastAsia="zh-CN"/>
        </w:rPr>
      </w:pPr>
      <w:r>
        <w:rPr>
          <w:rFonts w:hint="eastAsia"/>
          <w:color w:val="000000"/>
          <w:sz w:val="21"/>
          <w:szCs w:val="21"/>
          <w:lang w:val="en-US" w:eastAsia="zh-CN"/>
        </w:rPr>
        <w:t>4.8</w:t>
      </w:r>
      <w:r>
        <w:rPr>
          <w:rFonts w:hint="default"/>
          <w:color w:val="000000"/>
          <w:sz w:val="21"/>
          <w:szCs w:val="21"/>
          <w:lang w:val="en-US" w:eastAsia="zh-CN"/>
        </w:rPr>
        <w:t>.1.3 研究结论。应明确新能源系统以及直流输电系统故障穿越策略要求。</w:t>
      </w:r>
    </w:p>
    <w:p w14:paraId="7DB924B7">
      <w:pPr>
        <w:outlineLvl w:val="2"/>
        <w:rPr>
          <w:rFonts w:hint="default" w:ascii="Times New Roman" w:hAnsi="Times New Roman" w:eastAsia="宋体"/>
          <w:color w:val="000000"/>
          <w:sz w:val="21"/>
          <w:szCs w:val="21"/>
          <w:lang w:val="en-US" w:eastAsia="zh-CN"/>
        </w:rPr>
      </w:pPr>
      <w:bookmarkStart w:id="333" w:name="_Toc7501"/>
      <w:r>
        <w:rPr>
          <w:rFonts w:hint="eastAsia"/>
          <w:color w:val="000000"/>
          <w:sz w:val="21"/>
          <w:szCs w:val="21"/>
          <w:lang w:val="en-US" w:eastAsia="zh-CN"/>
        </w:rPr>
        <w:t>4.8</w:t>
      </w:r>
      <w:r>
        <w:rPr>
          <w:rFonts w:hint="default" w:ascii="Times New Roman" w:hAnsi="Times New Roman" w:eastAsia="宋体"/>
          <w:color w:val="000000"/>
          <w:sz w:val="21"/>
          <w:szCs w:val="21"/>
          <w:lang w:val="en-US" w:eastAsia="zh-CN"/>
        </w:rPr>
        <w:t>.2 受端交流故障穿越研究</w:t>
      </w:r>
      <w:bookmarkEnd w:id="333"/>
    </w:p>
    <w:p w14:paraId="763C4590">
      <w:pPr>
        <w:rPr>
          <w:rFonts w:hint="default"/>
          <w:color w:val="000000"/>
          <w:sz w:val="21"/>
          <w:szCs w:val="21"/>
          <w:lang w:val="en-US" w:eastAsia="zh-CN"/>
        </w:rPr>
      </w:pPr>
      <w:r>
        <w:rPr>
          <w:rFonts w:hint="eastAsia"/>
          <w:color w:val="000000"/>
          <w:sz w:val="21"/>
          <w:szCs w:val="21"/>
          <w:lang w:val="en-US" w:eastAsia="zh-CN"/>
        </w:rPr>
        <w:t>4.8</w:t>
      </w:r>
      <w:r>
        <w:rPr>
          <w:rFonts w:hint="default"/>
          <w:color w:val="000000"/>
          <w:sz w:val="21"/>
          <w:szCs w:val="21"/>
          <w:lang w:val="en-US" w:eastAsia="zh-CN"/>
        </w:rPr>
        <w:t>.2.1 研究目的。</w:t>
      </w:r>
      <w:r>
        <w:rPr>
          <w:rFonts w:hint="eastAsia"/>
          <w:color w:val="000000"/>
          <w:sz w:val="21"/>
          <w:szCs w:val="21"/>
          <w:lang w:val="en-US" w:eastAsia="zh-CN"/>
        </w:rPr>
        <w:t>应</w:t>
      </w:r>
      <w:r>
        <w:rPr>
          <w:rFonts w:hint="default"/>
          <w:color w:val="000000"/>
          <w:sz w:val="21"/>
          <w:szCs w:val="21"/>
          <w:lang w:val="en-US" w:eastAsia="zh-CN"/>
        </w:rPr>
        <w:t>通过研究受端交流系统故障特性，提出适用于本工程的交流故障穿越措施。</w:t>
      </w:r>
    </w:p>
    <w:p w14:paraId="107058B8">
      <w:pPr>
        <w:rPr>
          <w:rFonts w:hint="default"/>
          <w:color w:val="000000"/>
          <w:sz w:val="21"/>
          <w:szCs w:val="21"/>
          <w:lang w:val="en-US" w:eastAsia="zh-CN"/>
        </w:rPr>
      </w:pPr>
      <w:r>
        <w:rPr>
          <w:rFonts w:hint="eastAsia"/>
          <w:color w:val="000000"/>
          <w:sz w:val="21"/>
          <w:szCs w:val="21"/>
          <w:lang w:val="en-US" w:eastAsia="zh-CN"/>
        </w:rPr>
        <w:t>4.8</w:t>
      </w:r>
      <w:r>
        <w:rPr>
          <w:rFonts w:hint="default"/>
          <w:color w:val="000000"/>
          <w:sz w:val="21"/>
          <w:szCs w:val="21"/>
          <w:lang w:val="en-US" w:eastAsia="zh-CN"/>
        </w:rPr>
        <w:t>.2.2 研究要点</w:t>
      </w:r>
    </w:p>
    <w:p w14:paraId="6895BF69">
      <w:pPr>
        <w:ind w:firstLine="420"/>
        <w:rPr>
          <w:rFonts w:hint="default" w:ascii="Times New Roman" w:hAnsi="Times New Roman" w:eastAsia="宋体"/>
          <w:sz w:val="21"/>
          <w:szCs w:val="21"/>
          <w:lang w:val="en-US" w:eastAsia="zh-CN"/>
        </w:rPr>
      </w:pPr>
      <w:r>
        <w:rPr>
          <w:rFonts w:hint="default" w:ascii="Times New Roman" w:hAnsi="Times New Roman" w:eastAsia="宋体"/>
          <w:sz w:val="21"/>
          <w:szCs w:val="21"/>
          <w:lang w:val="en-US" w:eastAsia="zh-CN"/>
        </w:rPr>
        <w:t>1 应考虑受端电网网络结构，应考虑送受端通讯延时带来的能量盈余控制问题。</w:t>
      </w:r>
    </w:p>
    <w:p w14:paraId="199CBA9F">
      <w:pPr>
        <w:ind w:firstLine="420"/>
        <w:rPr>
          <w:rFonts w:hint="default" w:ascii="Times New Roman" w:hAnsi="Times New Roman" w:eastAsia="宋体"/>
          <w:sz w:val="21"/>
          <w:szCs w:val="21"/>
          <w:lang w:val="en-US" w:eastAsia="zh-CN"/>
        </w:rPr>
      </w:pPr>
      <w:r>
        <w:rPr>
          <w:rFonts w:hint="default" w:ascii="Times New Roman" w:hAnsi="Times New Roman" w:eastAsia="宋体"/>
          <w:sz w:val="21"/>
          <w:szCs w:val="21"/>
          <w:lang w:val="en-US" w:eastAsia="zh-CN"/>
        </w:rPr>
        <w:t>2 应考虑受端交流系统不同的运行方式，至少包括全接线与N-1运行方式，应考虑</w:t>
      </w:r>
      <w:r>
        <w:rPr>
          <w:rFonts w:hint="eastAsia"/>
          <w:sz w:val="21"/>
          <w:szCs w:val="21"/>
          <w:lang w:val="en-US" w:eastAsia="zh-CN"/>
        </w:rPr>
        <w:t>受</w:t>
      </w:r>
      <w:r>
        <w:rPr>
          <w:rFonts w:hint="default" w:ascii="Times New Roman" w:hAnsi="Times New Roman" w:eastAsia="宋体"/>
          <w:sz w:val="21"/>
          <w:szCs w:val="21"/>
          <w:lang w:val="en-US" w:eastAsia="zh-CN"/>
        </w:rPr>
        <w:t>端系统典型位置的三相金属性接地故障、单相金属性接地故障、两相金属性接地故障，同时应该考虑严苛故障后线路N-1故障。</w:t>
      </w:r>
    </w:p>
    <w:p w14:paraId="01247AB2">
      <w:pPr>
        <w:ind w:firstLine="420"/>
        <w:rPr>
          <w:rFonts w:hint="default" w:ascii="Times New Roman" w:hAnsi="Times New Roman" w:eastAsia="宋体"/>
          <w:sz w:val="21"/>
          <w:szCs w:val="21"/>
          <w:lang w:val="en-US" w:eastAsia="zh-CN"/>
        </w:rPr>
      </w:pPr>
      <w:r>
        <w:rPr>
          <w:rFonts w:hint="default" w:ascii="Times New Roman" w:hAnsi="Times New Roman" w:eastAsia="宋体"/>
          <w:sz w:val="21"/>
          <w:szCs w:val="21"/>
          <w:lang w:val="en-US" w:eastAsia="zh-CN"/>
        </w:rPr>
        <w:t>3 应关注受端系统故障以及恢复过程中的系统恢复稳定的能力以及系统的过电压水平，同时明确直流输电系统换流阀模块过电压的水平，确定系统能够实现故障的顺利穿越。</w:t>
      </w:r>
    </w:p>
    <w:p w14:paraId="36FAC4FA">
      <w:pPr>
        <w:ind w:firstLine="420"/>
        <w:rPr>
          <w:rFonts w:hint="default" w:ascii="Times New Roman" w:hAnsi="Times New Roman" w:eastAsia="宋体"/>
          <w:sz w:val="21"/>
          <w:szCs w:val="21"/>
          <w:lang w:val="en-US" w:eastAsia="zh-CN"/>
        </w:rPr>
      </w:pPr>
      <w:r>
        <w:rPr>
          <w:rFonts w:hint="default" w:ascii="Times New Roman" w:hAnsi="Times New Roman" w:eastAsia="宋体"/>
          <w:sz w:val="21"/>
          <w:szCs w:val="21"/>
          <w:lang w:val="en-US" w:eastAsia="zh-CN"/>
        </w:rPr>
        <w:t>4 应根据系统的穿越特性，提出</w:t>
      </w:r>
      <w:r>
        <w:rPr>
          <w:rFonts w:hint="eastAsia"/>
          <w:sz w:val="21"/>
          <w:szCs w:val="21"/>
          <w:lang w:val="en-US" w:eastAsia="zh-CN"/>
        </w:rPr>
        <w:t>直流系统</w:t>
      </w:r>
      <w:r>
        <w:rPr>
          <w:rFonts w:hint="default" w:ascii="Times New Roman" w:hAnsi="Times New Roman" w:eastAsia="宋体"/>
          <w:sz w:val="21"/>
          <w:szCs w:val="21"/>
          <w:lang w:val="en-US" w:eastAsia="zh-CN"/>
        </w:rPr>
        <w:t>故障穿越策略，或者提出耗能装置的配置要求。</w:t>
      </w:r>
    </w:p>
    <w:p w14:paraId="4F14BB40">
      <w:pPr>
        <w:rPr>
          <w:rFonts w:hint="default"/>
          <w:color w:val="000000"/>
          <w:sz w:val="21"/>
          <w:szCs w:val="21"/>
          <w:lang w:val="en-US" w:eastAsia="zh-CN"/>
        </w:rPr>
      </w:pPr>
      <w:r>
        <w:rPr>
          <w:rFonts w:hint="eastAsia"/>
          <w:color w:val="000000"/>
          <w:sz w:val="21"/>
          <w:szCs w:val="21"/>
          <w:lang w:val="en-US" w:eastAsia="zh-CN"/>
        </w:rPr>
        <w:t>4.8</w:t>
      </w:r>
      <w:r>
        <w:rPr>
          <w:rFonts w:hint="default"/>
          <w:color w:val="000000"/>
          <w:sz w:val="21"/>
          <w:szCs w:val="21"/>
          <w:lang w:val="en-US" w:eastAsia="zh-CN"/>
        </w:rPr>
        <w:t>.2.3 研究结论。应明确提出受端故障穿越策略，或者提出受端耗能装置的配置要求。</w:t>
      </w:r>
    </w:p>
    <w:p w14:paraId="323A6833">
      <w:pPr>
        <w:outlineLvl w:val="2"/>
        <w:rPr>
          <w:rFonts w:hint="default" w:ascii="Times New Roman" w:hAnsi="Times New Roman" w:eastAsia="宋体"/>
          <w:color w:val="000000"/>
          <w:sz w:val="21"/>
          <w:szCs w:val="21"/>
          <w:lang w:val="en-US" w:eastAsia="zh-CN"/>
        </w:rPr>
      </w:pPr>
      <w:bookmarkStart w:id="334" w:name="_Toc2649"/>
      <w:r>
        <w:rPr>
          <w:rFonts w:hint="eastAsia"/>
          <w:color w:val="000000"/>
          <w:sz w:val="21"/>
          <w:szCs w:val="21"/>
          <w:lang w:val="en-US" w:eastAsia="zh-CN"/>
        </w:rPr>
        <w:t>4.8</w:t>
      </w:r>
      <w:r>
        <w:rPr>
          <w:rFonts w:hint="default" w:ascii="Times New Roman" w:hAnsi="Times New Roman" w:eastAsia="宋体"/>
          <w:color w:val="000000"/>
          <w:sz w:val="21"/>
          <w:szCs w:val="21"/>
          <w:lang w:val="en-US" w:eastAsia="zh-CN"/>
        </w:rPr>
        <w:t>.3 直流故障穿越研究</w:t>
      </w:r>
      <w:bookmarkEnd w:id="334"/>
    </w:p>
    <w:p w14:paraId="270CDA5F">
      <w:pPr>
        <w:rPr>
          <w:rFonts w:hint="default"/>
          <w:color w:val="000000"/>
          <w:sz w:val="21"/>
          <w:szCs w:val="21"/>
          <w:lang w:val="en-US" w:eastAsia="zh-CN"/>
        </w:rPr>
      </w:pPr>
      <w:r>
        <w:rPr>
          <w:rFonts w:hint="eastAsia"/>
          <w:color w:val="000000"/>
          <w:sz w:val="21"/>
          <w:szCs w:val="21"/>
          <w:lang w:val="en-US" w:eastAsia="zh-CN"/>
        </w:rPr>
        <w:t>4.8</w:t>
      </w:r>
      <w:r>
        <w:rPr>
          <w:rFonts w:hint="default"/>
          <w:color w:val="000000"/>
          <w:sz w:val="21"/>
          <w:szCs w:val="21"/>
          <w:lang w:val="en-US" w:eastAsia="zh-CN"/>
        </w:rPr>
        <w:t>.3.1 研究目的。</w:t>
      </w:r>
      <w:r>
        <w:rPr>
          <w:rFonts w:hint="eastAsia"/>
          <w:color w:val="000000"/>
          <w:sz w:val="21"/>
          <w:szCs w:val="21"/>
          <w:lang w:val="en-US" w:eastAsia="zh-CN"/>
        </w:rPr>
        <w:t>应</w:t>
      </w:r>
      <w:r>
        <w:rPr>
          <w:rFonts w:hint="default"/>
          <w:color w:val="000000"/>
          <w:sz w:val="21"/>
          <w:szCs w:val="21"/>
          <w:lang w:val="en-US" w:eastAsia="zh-CN"/>
        </w:rPr>
        <w:t>通过研究直流系统故障特性，提出适用于本工程的直流故障穿越措施。</w:t>
      </w:r>
    </w:p>
    <w:p w14:paraId="25E7C194">
      <w:pPr>
        <w:rPr>
          <w:rFonts w:hint="default"/>
          <w:color w:val="000000"/>
          <w:sz w:val="21"/>
          <w:szCs w:val="21"/>
          <w:lang w:val="en-US" w:eastAsia="zh-CN"/>
        </w:rPr>
      </w:pPr>
      <w:r>
        <w:rPr>
          <w:rFonts w:hint="eastAsia"/>
          <w:color w:val="000000"/>
          <w:sz w:val="21"/>
          <w:szCs w:val="21"/>
          <w:lang w:val="en-US" w:eastAsia="zh-CN"/>
        </w:rPr>
        <w:t>4.8</w:t>
      </w:r>
      <w:r>
        <w:rPr>
          <w:rFonts w:hint="default"/>
          <w:color w:val="000000"/>
          <w:sz w:val="21"/>
          <w:szCs w:val="21"/>
          <w:lang w:val="en-US" w:eastAsia="zh-CN"/>
        </w:rPr>
        <w:t>.3.2 研究要点</w:t>
      </w:r>
    </w:p>
    <w:p w14:paraId="0E4A502C">
      <w:pPr>
        <w:ind w:firstLine="420"/>
        <w:rPr>
          <w:rFonts w:hint="default" w:ascii="Times New Roman" w:hAnsi="Times New Roman" w:eastAsia="宋体"/>
          <w:sz w:val="21"/>
          <w:szCs w:val="21"/>
          <w:lang w:val="en-US" w:eastAsia="zh-CN"/>
        </w:rPr>
      </w:pPr>
      <w:r>
        <w:rPr>
          <w:rFonts w:hint="default" w:ascii="Times New Roman" w:hAnsi="Times New Roman" w:eastAsia="宋体"/>
          <w:sz w:val="21"/>
          <w:szCs w:val="21"/>
          <w:lang w:val="en-US" w:eastAsia="zh-CN"/>
        </w:rPr>
        <w:t>1 应考虑直流输电系统不同的运行方式，至少包括双极运行方式和单极运行方式，应考虑直流线路典型位置的金属性接地故障。</w:t>
      </w:r>
    </w:p>
    <w:p w14:paraId="7D6C8CF8">
      <w:pPr>
        <w:ind w:firstLine="420"/>
        <w:rPr>
          <w:rFonts w:hint="default" w:ascii="Times New Roman" w:hAnsi="Times New Roman" w:eastAsia="宋体"/>
          <w:sz w:val="21"/>
          <w:szCs w:val="21"/>
          <w:lang w:val="en-US" w:eastAsia="zh-CN"/>
        </w:rPr>
      </w:pPr>
      <w:r>
        <w:rPr>
          <w:rFonts w:hint="default" w:ascii="Times New Roman" w:hAnsi="Times New Roman" w:eastAsia="宋体"/>
          <w:sz w:val="21"/>
          <w:szCs w:val="21"/>
          <w:lang w:val="en-US" w:eastAsia="zh-CN"/>
        </w:rPr>
        <w:t>3 应关注直流系统故障以及恢复过程中的系统恢复稳定的能力以及送端系统的过电压水平，同时明确直流输电系统换流阀模块过电压的水平，确定系统能够实现故障的顺利穿越。</w:t>
      </w:r>
    </w:p>
    <w:p w14:paraId="1A6635BA">
      <w:pPr>
        <w:ind w:firstLine="420"/>
        <w:rPr>
          <w:rFonts w:hint="default" w:ascii="Times New Roman" w:hAnsi="Times New Roman" w:eastAsia="宋体"/>
          <w:sz w:val="21"/>
          <w:szCs w:val="21"/>
          <w:lang w:val="en-US" w:eastAsia="zh-CN"/>
        </w:rPr>
      </w:pPr>
      <w:r>
        <w:rPr>
          <w:rFonts w:hint="default" w:ascii="Times New Roman" w:hAnsi="Times New Roman" w:eastAsia="宋体"/>
          <w:sz w:val="21"/>
          <w:szCs w:val="21"/>
          <w:lang w:val="en-US" w:eastAsia="zh-CN"/>
        </w:rPr>
        <w:t>4 应根据系统的穿越特性，提出直流故障穿越策略，提出交流耗能装置的配置要求。</w:t>
      </w:r>
    </w:p>
    <w:p w14:paraId="6BA710F4">
      <w:pPr>
        <w:rPr>
          <w:rFonts w:hint="default"/>
          <w:color w:val="000000"/>
          <w:szCs w:val="21"/>
          <w:lang w:val="en-US" w:eastAsia="zh-CN"/>
        </w:rPr>
      </w:pPr>
      <w:r>
        <w:rPr>
          <w:rFonts w:hint="eastAsia"/>
          <w:color w:val="000000"/>
          <w:szCs w:val="21"/>
          <w:lang w:val="en-US" w:eastAsia="zh-CN"/>
        </w:rPr>
        <w:t>4.8</w:t>
      </w:r>
      <w:r>
        <w:rPr>
          <w:rFonts w:hint="default"/>
          <w:color w:val="000000"/>
          <w:szCs w:val="21"/>
          <w:lang w:val="en-US" w:eastAsia="zh-CN"/>
        </w:rPr>
        <w:t>.3.3 研究结论。应明确提出直流故障穿越策略，</w:t>
      </w:r>
      <w:r>
        <w:rPr>
          <w:rFonts w:hint="eastAsia"/>
          <w:color w:val="000000"/>
          <w:szCs w:val="21"/>
          <w:lang w:val="en-US" w:eastAsia="zh-CN"/>
        </w:rPr>
        <w:t>或</w:t>
      </w:r>
      <w:r>
        <w:rPr>
          <w:rFonts w:hint="default"/>
          <w:color w:val="000000"/>
          <w:szCs w:val="21"/>
          <w:lang w:val="en-US" w:eastAsia="zh-CN"/>
        </w:rPr>
        <w:t>提出耗能装置的配置要求。</w:t>
      </w:r>
    </w:p>
    <w:p w14:paraId="76A8211F">
      <w:pPr>
        <w:pStyle w:val="3"/>
        <w:rPr>
          <w:rFonts w:hint="default"/>
          <w:lang w:val="en-US" w:eastAsia="zh-CN"/>
        </w:rPr>
      </w:pPr>
      <w:bookmarkStart w:id="335" w:name="_Toc11617"/>
      <w:bookmarkStart w:id="336" w:name="_Toc6013"/>
      <w:bookmarkStart w:id="337" w:name="_Toc17627"/>
      <w:bookmarkStart w:id="338" w:name="_Toc5658"/>
      <w:bookmarkStart w:id="339" w:name="_Toc19526"/>
      <w:bookmarkStart w:id="340" w:name="_Toc12077"/>
      <w:bookmarkStart w:id="341" w:name="_Toc3820"/>
      <w:bookmarkStart w:id="342" w:name="_Toc21833"/>
      <w:bookmarkStart w:id="343" w:name="_Toc11349"/>
      <w:bookmarkStart w:id="344" w:name="_Toc10457"/>
      <w:bookmarkStart w:id="345" w:name="_Toc25683"/>
      <w:bookmarkStart w:id="346" w:name="_Toc4713"/>
      <w:bookmarkStart w:id="347" w:name="_Toc7082"/>
      <w:bookmarkStart w:id="348" w:name="_Toc9708"/>
      <w:r>
        <w:rPr>
          <w:rFonts w:hint="eastAsia"/>
          <w:lang w:val="en-US" w:eastAsia="zh-CN"/>
        </w:rPr>
        <w:t>4.9</w:t>
      </w:r>
      <w:r>
        <w:rPr>
          <w:rFonts w:hint="default"/>
          <w:lang w:val="en-US" w:eastAsia="zh-CN"/>
        </w:rPr>
        <w:t xml:space="preserve"> </w:t>
      </w:r>
      <w:r>
        <w:rPr>
          <w:rFonts w:hint="eastAsia"/>
          <w:lang w:val="en-US" w:eastAsia="zh-CN"/>
        </w:rPr>
        <w:t>直流</w:t>
      </w:r>
      <w:r>
        <w:rPr>
          <w:rFonts w:hint="default"/>
          <w:lang w:val="en-US" w:eastAsia="zh-CN"/>
        </w:rPr>
        <w:t>成套设备要求研究</w:t>
      </w:r>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p>
    <w:p w14:paraId="0B503079">
      <w:pPr>
        <w:outlineLvl w:val="2"/>
        <w:rPr>
          <w:rFonts w:hint="default" w:ascii="Times New Roman" w:hAnsi="Times New Roman" w:eastAsia="宋体"/>
          <w:color w:val="000000"/>
          <w:szCs w:val="21"/>
          <w:lang w:val="en-US" w:eastAsia="zh-CN"/>
        </w:rPr>
      </w:pPr>
      <w:bookmarkStart w:id="349" w:name="_Toc21009"/>
      <w:r>
        <w:rPr>
          <w:rFonts w:hint="eastAsia"/>
          <w:color w:val="000000"/>
          <w:szCs w:val="21"/>
          <w:lang w:val="en-US" w:eastAsia="zh-CN"/>
        </w:rPr>
        <w:t>4.9</w:t>
      </w:r>
      <w:r>
        <w:rPr>
          <w:rFonts w:hint="default" w:ascii="Times New Roman" w:hAnsi="Times New Roman" w:eastAsia="宋体"/>
          <w:color w:val="000000"/>
          <w:szCs w:val="21"/>
          <w:lang w:val="en-US" w:eastAsia="zh-CN"/>
        </w:rPr>
        <w:t>.1 直流偏磁电流研究</w:t>
      </w:r>
      <w:bookmarkEnd w:id="349"/>
    </w:p>
    <w:p w14:paraId="020F1F43">
      <w:pPr>
        <w:rPr>
          <w:rFonts w:hint="default"/>
          <w:color w:val="000000"/>
          <w:sz w:val="21"/>
          <w:szCs w:val="21"/>
          <w:lang w:val="en-US" w:eastAsia="zh-CN"/>
        </w:rPr>
      </w:pPr>
      <w:r>
        <w:rPr>
          <w:rFonts w:hint="eastAsia"/>
          <w:color w:val="000000"/>
          <w:sz w:val="21"/>
          <w:szCs w:val="21"/>
          <w:lang w:val="en-US" w:eastAsia="zh-CN"/>
        </w:rPr>
        <w:t>4.9</w:t>
      </w:r>
      <w:r>
        <w:rPr>
          <w:rFonts w:hint="default"/>
          <w:color w:val="000000"/>
          <w:sz w:val="21"/>
          <w:szCs w:val="21"/>
          <w:lang w:val="en-US" w:eastAsia="zh-CN"/>
        </w:rPr>
        <w:t>.1.1 研究目的。</w:t>
      </w:r>
      <w:r>
        <w:rPr>
          <w:rFonts w:hint="eastAsia"/>
          <w:color w:val="000000"/>
          <w:sz w:val="21"/>
          <w:szCs w:val="21"/>
          <w:lang w:val="en-US" w:eastAsia="zh-CN"/>
        </w:rPr>
        <w:t>应</w:t>
      </w:r>
      <w:r>
        <w:rPr>
          <w:rFonts w:hint="default"/>
          <w:color w:val="000000"/>
          <w:sz w:val="21"/>
          <w:szCs w:val="21"/>
          <w:lang w:val="en-US" w:eastAsia="zh-CN"/>
        </w:rPr>
        <w:t>通过计算变压器的直流偏磁电流，提出变压器直流偏磁电流技术要求。</w:t>
      </w:r>
    </w:p>
    <w:p w14:paraId="629BC684">
      <w:pPr>
        <w:rPr>
          <w:rFonts w:hint="default"/>
          <w:color w:val="000000"/>
          <w:sz w:val="21"/>
          <w:szCs w:val="21"/>
          <w:lang w:val="en-US" w:eastAsia="zh-CN"/>
        </w:rPr>
      </w:pPr>
      <w:r>
        <w:rPr>
          <w:rFonts w:hint="eastAsia"/>
          <w:color w:val="000000"/>
          <w:sz w:val="21"/>
          <w:szCs w:val="21"/>
          <w:lang w:val="en-US" w:eastAsia="zh-CN"/>
        </w:rPr>
        <w:t>4.9</w:t>
      </w:r>
      <w:r>
        <w:rPr>
          <w:rFonts w:hint="default"/>
          <w:color w:val="000000"/>
          <w:sz w:val="21"/>
          <w:szCs w:val="21"/>
          <w:lang w:val="en-US" w:eastAsia="zh-CN"/>
        </w:rPr>
        <w:t>.1.2 研究要点</w:t>
      </w:r>
    </w:p>
    <w:p w14:paraId="212243E6">
      <w:pPr>
        <w:ind w:firstLine="420"/>
        <w:rPr>
          <w:rFonts w:hint="default" w:ascii="Times New Roman" w:hAnsi="Times New Roman" w:eastAsia="宋体"/>
          <w:sz w:val="21"/>
          <w:szCs w:val="21"/>
          <w:lang w:val="en-US" w:eastAsia="zh-CN"/>
        </w:rPr>
      </w:pPr>
      <w:r>
        <w:rPr>
          <w:rFonts w:hint="default" w:ascii="Times New Roman" w:hAnsi="Times New Roman" w:eastAsia="宋体"/>
          <w:sz w:val="21"/>
          <w:szCs w:val="21"/>
          <w:lang w:val="en-US" w:eastAsia="zh-CN"/>
        </w:rPr>
        <w:t>1 应包括触发角偏差、交流背景谐波影响、并行交流电流影响、入地电流影响等工况。</w:t>
      </w:r>
    </w:p>
    <w:p w14:paraId="668E06CE">
      <w:pPr>
        <w:ind w:firstLine="420"/>
        <w:rPr>
          <w:rFonts w:hint="default" w:ascii="Times New Roman" w:hAnsi="Times New Roman" w:eastAsia="宋体"/>
          <w:sz w:val="21"/>
          <w:szCs w:val="21"/>
          <w:lang w:val="en-US" w:eastAsia="zh-CN"/>
        </w:rPr>
      </w:pPr>
      <w:r>
        <w:rPr>
          <w:rFonts w:hint="default" w:ascii="Times New Roman" w:hAnsi="Times New Roman" w:eastAsia="宋体"/>
          <w:sz w:val="21"/>
          <w:szCs w:val="21"/>
          <w:lang w:val="en-US" w:eastAsia="zh-CN"/>
        </w:rPr>
        <w:t>2 不同并行交流线路产生的感应电流宜采用均方根考虑。</w:t>
      </w:r>
    </w:p>
    <w:p w14:paraId="1610C2F8">
      <w:pPr>
        <w:ind w:firstLine="420"/>
        <w:rPr>
          <w:rFonts w:hint="default" w:ascii="Times New Roman" w:hAnsi="Times New Roman" w:eastAsia="宋体"/>
          <w:sz w:val="21"/>
          <w:szCs w:val="21"/>
          <w:lang w:val="en-US" w:eastAsia="zh-CN"/>
        </w:rPr>
      </w:pPr>
      <w:r>
        <w:rPr>
          <w:rFonts w:hint="default" w:ascii="Times New Roman" w:hAnsi="Times New Roman" w:eastAsia="宋体"/>
          <w:sz w:val="21"/>
          <w:szCs w:val="21"/>
          <w:lang w:val="en-US" w:eastAsia="zh-CN"/>
        </w:rPr>
        <w:t>3 不同因素导致的直流偏磁电流应宜采用均方和考虑。</w:t>
      </w:r>
    </w:p>
    <w:p w14:paraId="17391569">
      <w:pPr>
        <w:rPr>
          <w:rFonts w:hint="default"/>
          <w:color w:val="000000"/>
          <w:sz w:val="21"/>
          <w:szCs w:val="21"/>
          <w:lang w:val="en-US" w:eastAsia="zh-CN"/>
        </w:rPr>
      </w:pPr>
      <w:r>
        <w:rPr>
          <w:rFonts w:hint="eastAsia"/>
          <w:color w:val="000000"/>
          <w:sz w:val="21"/>
          <w:szCs w:val="21"/>
          <w:lang w:val="en-US" w:eastAsia="zh-CN"/>
        </w:rPr>
        <w:t>4.9</w:t>
      </w:r>
      <w:r>
        <w:rPr>
          <w:rFonts w:hint="default"/>
          <w:color w:val="000000"/>
          <w:sz w:val="21"/>
          <w:szCs w:val="21"/>
          <w:lang w:val="en-US" w:eastAsia="zh-CN"/>
        </w:rPr>
        <w:t>.1.3 研究结论。应明确柔直变压器/换流变压器的直流偏磁电流耐受要求。</w:t>
      </w:r>
    </w:p>
    <w:p w14:paraId="33EE790B">
      <w:pPr>
        <w:outlineLvl w:val="2"/>
        <w:rPr>
          <w:rFonts w:hint="default" w:ascii="Times New Roman" w:hAnsi="Times New Roman" w:eastAsia="宋体"/>
          <w:color w:val="000000"/>
          <w:sz w:val="21"/>
          <w:szCs w:val="21"/>
          <w:lang w:val="en-US" w:eastAsia="zh-CN"/>
        </w:rPr>
      </w:pPr>
      <w:bookmarkStart w:id="350" w:name="_Toc31551"/>
      <w:r>
        <w:rPr>
          <w:rFonts w:hint="eastAsia"/>
          <w:color w:val="000000"/>
          <w:sz w:val="21"/>
          <w:szCs w:val="21"/>
          <w:lang w:val="en-US" w:eastAsia="zh-CN"/>
        </w:rPr>
        <w:t>4.9</w:t>
      </w:r>
      <w:r>
        <w:rPr>
          <w:rFonts w:hint="default" w:ascii="Times New Roman" w:hAnsi="Times New Roman" w:eastAsia="宋体"/>
          <w:color w:val="000000"/>
          <w:sz w:val="21"/>
          <w:szCs w:val="21"/>
          <w:lang w:val="en-US" w:eastAsia="zh-CN"/>
        </w:rPr>
        <w:t>.2 直流转换开关研究</w:t>
      </w:r>
      <w:bookmarkEnd w:id="350"/>
    </w:p>
    <w:p w14:paraId="38E4D018">
      <w:pPr>
        <w:rPr>
          <w:rFonts w:hint="default"/>
          <w:color w:val="000000"/>
          <w:sz w:val="21"/>
          <w:szCs w:val="21"/>
          <w:lang w:val="en-US" w:eastAsia="zh-CN"/>
        </w:rPr>
      </w:pPr>
      <w:r>
        <w:rPr>
          <w:rFonts w:hint="eastAsia"/>
          <w:color w:val="000000"/>
          <w:sz w:val="21"/>
          <w:szCs w:val="21"/>
          <w:lang w:val="en-US" w:eastAsia="zh-CN"/>
        </w:rPr>
        <w:t>4.9</w:t>
      </w:r>
      <w:r>
        <w:rPr>
          <w:rFonts w:hint="default"/>
          <w:color w:val="000000"/>
          <w:sz w:val="21"/>
          <w:szCs w:val="21"/>
          <w:lang w:val="en-US" w:eastAsia="zh-CN"/>
        </w:rPr>
        <w:t>.2.1 研究目的。应确定直流输电系统运行方式转换过程对直流转换开关的技术要求。</w:t>
      </w:r>
    </w:p>
    <w:p w14:paraId="6AD3CE61">
      <w:pPr>
        <w:rPr>
          <w:rFonts w:hint="default"/>
          <w:color w:val="000000"/>
          <w:sz w:val="21"/>
          <w:szCs w:val="21"/>
          <w:lang w:val="en-US" w:eastAsia="zh-CN"/>
        </w:rPr>
      </w:pPr>
      <w:r>
        <w:rPr>
          <w:rFonts w:hint="eastAsia"/>
          <w:color w:val="000000"/>
          <w:sz w:val="21"/>
          <w:szCs w:val="21"/>
          <w:lang w:val="en-US" w:eastAsia="zh-CN"/>
        </w:rPr>
        <w:t>4.9</w:t>
      </w:r>
      <w:r>
        <w:rPr>
          <w:rFonts w:hint="default"/>
          <w:color w:val="000000"/>
          <w:sz w:val="21"/>
          <w:szCs w:val="21"/>
          <w:lang w:val="en-US" w:eastAsia="zh-CN"/>
        </w:rPr>
        <w:t>.2.2 研究要点</w:t>
      </w:r>
    </w:p>
    <w:p w14:paraId="6C60CEE5">
      <w:pPr>
        <w:ind w:firstLine="420"/>
        <w:rPr>
          <w:rFonts w:hint="default" w:ascii="Times New Roman" w:hAnsi="Times New Roman" w:eastAsia="宋体"/>
          <w:sz w:val="21"/>
          <w:szCs w:val="21"/>
          <w:lang w:val="en-US" w:eastAsia="zh-CN"/>
        </w:rPr>
      </w:pPr>
      <w:r>
        <w:rPr>
          <w:rFonts w:hint="default" w:ascii="Times New Roman" w:hAnsi="Times New Roman" w:eastAsia="宋体"/>
          <w:sz w:val="21"/>
          <w:szCs w:val="21"/>
          <w:lang w:val="en-US" w:eastAsia="zh-CN"/>
        </w:rPr>
        <w:t>1 应充分考虑直流线路长度偏差、环境温度对线路电阻的影响，考虑各种不同组合带来的最大直流转换电流。</w:t>
      </w:r>
    </w:p>
    <w:p w14:paraId="56FBF21B">
      <w:pPr>
        <w:ind w:firstLine="420"/>
        <w:rPr>
          <w:rFonts w:hint="default" w:ascii="Times New Roman" w:hAnsi="Times New Roman" w:eastAsia="宋体"/>
          <w:sz w:val="21"/>
          <w:szCs w:val="21"/>
          <w:lang w:val="en-US" w:eastAsia="zh-CN"/>
        </w:rPr>
      </w:pPr>
      <w:r>
        <w:rPr>
          <w:rFonts w:hint="default" w:ascii="Times New Roman" w:hAnsi="Times New Roman" w:eastAsia="宋体"/>
          <w:sz w:val="21"/>
          <w:szCs w:val="21"/>
          <w:lang w:val="en-US" w:eastAsia="zh-CN"/>
        </w:rPr>
        <w:t>2 结合电流转换过程中转换开关的暂态耐受能力，提出避雷器能量要求。</w:t>
      </w:r>
    </w:p>
    <w:p w14:paraId="67F1FF5D">
      <w:pPr>
        <w:rPr>
          <w:rFonts w:hint="default"/>
          <w:color w:val="000000"/>
          <w:sz w:val="21"/>
          <w:szCs w:val="21"/>
          <w:lang w:val="en-US" w:eastAsia="zh-CN"/>
        </w:rPr>
      </w:pPr>
      <w:r>
        <w:rPr>
          <w:rFonts w:hint="eastAsia"/>
          <w:color w:val="000000"/>
          <w:sz w:val="21"/>
          <w:szCs w:val="21"/>
          <w:lang w:val="en-US" w:eastAsia="zh-CN"/>
        </w:rPr>
        <w:t>4.9</w:t>
      </w:r>
      <w:r>
        <w:rPr>
          <w:rFonts w:hint="default"/>
          <w:color w:val="000000"/>
          <w:sz w:val="21"/>
          <w:szCs w:val="21"/>
          <w:lang w:val="en-US" w:eastAsia="zh-CN"/>
        </w:rPr>
        <w:t>.2.3 研究结论。应明确直流转换开关的基本技术要求和避雷器能量要求。</w:t>
      </w:r>
    </w:p>
    <w:p w14:paraId="03AA1F84">
      <w:pPr>
        <w:outlineLvl w:val="2"/>
        <w:rPr>
          <w:rFonts w:hint="default" w:ascii="Times New Roman" w:hAnsi="Times New Roman" w:eastAsia="宋体"/>
          <w:color w:val="000000"/>
          <w:sz w:val="21"/>
          <w:szCs w:val="21"/>
          <w:lang w:val="en-US" w:eastAsia="zh-CN"/>
        </w:rPr>
      </w:pPr>
      <w:bookmarkStart w:id="351" w:name="_Toc14383"/>
      <w:r>
        <w:rPr>
          <w:rFonts w:hint="eastAsia"/>
          <w:color w:val="000000"/>
          <w:sz w:val="21"/>
          <w:szCs w:val="21"/>
          <w:lang w:val="en-US" w:eastAsia="zh-CN"/>
        </w:rPr>
        <w:t>4.9</w:t>
      </w:r>
      <w:r>
        <w:rPr>
          <w:rFonts w:hint="default" w:ascii="Times New Roman" w:hAnsi="Times New Roman" w:eastAsia="宋体"/>
          <w:color w:val="000000"/>
          <w:sz w:val="21"/>
          <w:szCs w:val="21"/>
          <w:lang w:val="en-US" w:eastAsia="zh-CN"/>
        </w:rPr>
        <w:t>.3 直流旁路开关研究</w:t>
      </w:r>
      <w:bookmarkEnd w:id="351"/>
    </w:p>
    <w:p w14:paraId="293B1D49">
      <w:pPr>
        <w:rPr>
          <w:rFonts w:hint="default"/>
          <w:color w:val="000000"/>
          <w:sz w:val="21"/>
          <w:szCs w:val="21"/>
          <w:lang w:val="en-US" w:eastAsia="zh-CN"/>
        </w:rPr>
      </w:pPr>
      <w:r>
        <w:rPr>
          <w:rFonts w:hint="eastAsia"/>
          <w:color w:val="000000"/>
          <w:sz w:val="21"/>
          <w:szCs w:val="21"/>
          <w:lang w:val="en-US" w:eastAsia="zh-CN"/>
        </w:rPr>
        <w:t>4.9</w:t>
      </w:r>
      <w:r>
        <w:rPr>
          <w:rFonts w:hint="default"/>
          <w:color w:val="000000"/>
          <w:sz w:val="21"/>
          <w:szCs w:val="21"/>
          <w:lang w:val="en-US" w:eastAsia="zh-CN"/>
        </w:rPr>
        <w:t>.3.1 研究目的。应确定直流输电系统阀组旁路与投入过程对直流旁路开关的技术要求。</w:t>
      </w:r>
    </w:p>
    <w:p w14:paraId="5AF27B56">
      <w:pPr>
        <w:ind w:firstLine="0"/>
        <w:rPr>
          <w:rFonts w:hint="default" w:ascii="Times New Roman" w:hAnsi="Times New Roman" w:eastAsia="宋体"/>
          <w:color w:val="000000"/>
          <w:sz w:val="21"/>
          <w:szCs w:val="21"/>
          <w:lang w:val="en-US" w:eastAsia="zh-CN"/>
        </w:rPr>
      </w:pPr>
      <w:r>
        <w:rPr>
          <w:rFonts w:hint="eastAsia"/>
          <w:color w:val="000000"/>
          <w:sz w:val="21"/>
          <w:szCs w:val="21"/>
          <w:lang w:val="en-US" w:eastAsia="zh-CN"/>
        </w:rPr>
        <w:t>4.9</w:t>
      </w:r>
      <w:r>
        <w:rPr>
          <w:rFonts w:hint="default" w:ascii="Times New Roman" w:hAnsi="Times New Roman" w:eastAsia="宋体"/>
          <w:color w:val="000000"/>
          <w:sz w:val="21"/>
          <w:szCs w:val="21"/>
          <w:lang w:val="en-US" w:eastAsia="zh-CN"/>
        </w:rPr>
        <w:t>.3.2 研究要点。应充分考虑阀组旁路和投入过程的时序，研究该过程对旁路开关的影响。</w:t>
      </w:r>
    </w:p>
    <w:p w14:paraId="649D283A">
      <w:pPr>
        <w:rPr>
          <w:rFonts w:hint="default"/>
          <w:color w:val="000000"/>
          <w:sz w:val="21"/>
          <w:szCs w:val="21"/>
          <w:lang w:val="en-US" w:eastAsia="zh-CN"/>
        </w:rPr>
      </w:pPr>
      <w:r>
        <w:rPr>
          <w:rFonts w:hint="eastAsia"/>
          <w:color w:val="000000"/>
          <w:sz w:val="21"/>
          <w:szCs w:val="21"/>
          <w:lang w:val="en-US" w:eastAsia="zh-CN"/>
        </w:rPr>
        <w:t>4.9</w:t>
      </w:r>
      <w:r>
        <w:rPr>
          <w:rFonts w:hint="default"/>
          <w:color w:val="000000"/>
          <w:sz w:val="21"/>
          <w:szCs w:val="21"/>
          <w:lang w:val="en-US" w:eastAsia="zh-CN"/>
        </w:rPr>
        <w:t>.3.3 研究结论。应明确直流旁路开关的基本技术要求。</w:t>
      </w:r>
    </w:p>
    <w:p w14:paraId="1288B76E">
      <w:pPr>
        <w:outlineLvl w:val="2"/>
        <w:rPr>
          <w:rFonts w:hint="default" w:ascii="Times New Roman" w:hAnsi="Times New Roman" w:eastAsia="宋体"/>
          <w:color w:val="000000"/>
          <w:sz w:val="21"/>
          <w:szCs w:val="21"/>
          <w:lang w:val="en-US" w:eastAsia="zh-CN"/>
        </w:rPr>
      </w:pPr>
      <w:bookmarkStart w:id="352" w:name="_Toc17699"/>
      <w:r>
        <w:rPr>
          <w:rFonts w:hint="eastAsia"/>
          <w:color w:val="000000"/>
          <w:sz w:val="21"/>
          <w:szCs w:val="21"/>
          <w:lang w:val="en-US" w:eastAsia="zh-CN"/>
        </w:rPr>
        <w:t>4.9</w:t>
      </w:r>
      <w:r>
        <w:rPr>
          <w:rFonts w:hint="default" w:ascii="Times New Roman" w:hAnsi="Times New Roman" w:eastAsia="宋体"/>
          <w:color w:val="000000"/>
          <w:sz w:val="21"/>
          <w:szCs w:val="21"/>
          <w:lang w:val="en-US" w:eastAsia="zh-CN"/>
        </w:rPr>
        <w:t>.4 直流快速开关研究</w:t>
      </w:r>
      <w:bookmarkEnd w:id="352"/>
    </w:p>
    <w:p w14:paraId="57680A47">
      <w:pPr>
        <w:rPr>
          <w:rFonts w:hint="default"/>
          <w:color w:val="000000"/>
          <w:sz w:val="21"/>
          <w:szCs w:val="21"/>
          <w:lang w:val="en-US" w:eastAsia="zh-CN"/>
        </w:rPr>
      </w:pPr>
      <w:r>
        <w:rPr>
          <w:rFonts w:hint="eastAsia"/>
          <w:color w:val="000000"/>
          <w:sz w:val="21"/>
          <w:szCs w:val="21"/>
          <w:lang w:val="en-US" w:eastAsia="zh-CN"/>
        </w:rPr>
        <w:t>4.9</w:t>
      </w:r>
      <w:r>
        <w:rPr>
          <w:rFonts w:hint="default"/>
          <w:color w:val="000000"/>
          <w:sz w:val="21"/>
          <w:szCs w:val="21"/>
          <w:lang w:val="en-US" w:eastAsia="zh-CN"/>
        </w:rPr>
        <w:t>.4.1 研究目的。应确定直流换流站投入和退出过程中对直流快速开关的技术要求。</w:t>
      </w:r>
    </w:p>
    <w:p w14:paraId="1C6D1BD0">
      <w:pPr>
        <w:rPr>
          <w:rFonts w:hint="default"/>
          <w:color w:val="000000"/>
          <w:sz w:val="21"/>
          <w:szCs w:val="21"/>
          <w:lang w:val="en-US" w:eastAsia="zh-CN"/>
        </w:rPr>
      </w:pPr>
      <w:r>
        <w:rPr>
          <w:rFonts w:hint="eastAsia"/>
          <w:color w:val="000000"/>
          <w:sz w:val="21"/>
          <w:szCs w:val="21"/>
          <w:lang w:val="en-US" w:eastAsia="zh-CN"/>
        </w:rPr>
        <w:t>4.9</w:t>
      </w:r>
      <w:r>
        <w:rPr>
          <w:rFonts w:hint="default"/>
          <w:color w:val="000000"/>
          <w:sz w:val="21"/>
          <w:szCs w:val="21"/>
          <w:lang w:val="en-US" w:eastAsia="zh-CN"/>
        </w:rPr>
        <w:t>.4.2 研究要点</w:t>
      </w:r>
    </w:p>
    <w:p w14:paraId="062204FD">
      <w:pPr>
        <w:ind w:firstLine="420"/>
        <w:rPr>
          <w:rFonts w:hint="default" w:ascii="Times New Roman" w:hAnsi="Times New Roman" w:eastAsia="宋体"/>
          <w:sz w:val="21"/>
          <w:szCs w:val="21"/>
          <w:lang w:val="en-US" w:eastAsia="zh-CN"/>
        </w:rPr>
      </w:pPr>
      <w:r>
        <w:rPr>
          <w:rFonts w:hint="default" w:ascii="Times New Roman" w:hAnsi="Times New Roman" w:eastAsia="宋体"/>
          <w:sz w:val="21"/>
          <w:szCs w:val="21"/>
          <w:lang w:val="en-US" w:eastAsia="zh-CN"/>
        </w:rPr>
        <w:t>1 应充分考虑直流线路长度偏差、环境温度对线路电阻的影响，考虑各种不同组合带来的直流开断电流要求。</w:t>
      </w:r>
    </w:p>
    <w:p w14:paraId="7972F082">
      <w:pPr>
        <w:ind w:firstLine="420"/>
        <w:rPr>
          <w:rFonts w:hint="default" w:ascii="Times New Roman" w:hAnsi="Times New Roman" w:eastAsia="宋体"/>
          <w:sz w:val="21"/>
          <w:szCs w:val="21"/>
          <w:lang w:val="en-US" w:eastAsia="zh-CN"/>
        </w:rPr>
      </w:pPr>
      <w:r>
        <w:rPr>
          <w:rFonts w:hint="default" w:ascii="Times New Roman" w:hAnsi="Times New Roman" w:eastAsia="宋体"/>
          <w:sz w:val="21"/>
          <w:szCs w:val="21"/>
          <w:lang w:val="en-US" w:eastAsia="zh-CN"/>
        </w:rPr>
        <w:t>2 结合换流站投退过程</w:t>
      </w:r>
      <w:r>
        <w:rPr>
          <w:rFonts w:hint="eastAsia"/>
          <w:sz w:val="21"/>
          <w:szCs w:val="21"/>
          <w:lang w:val="en-US" w:eastAsia="zh-CN"/>
        </w:rPr>
        <w:t>计算，提出</w:t>
      </w:r>
      <w:r>
        <w:rPr>
          <w:rFonts w:hint="default" w:ascii="Times New Roman" w:hAnsi="Times New Roman" w:eastAsia="宋体"/>
          <w:sz w:val="21"/>
          <w:szCs w:val="21"/>
          <w:lang w:val="en-US" w:eastAsia="zh-CN"/>
        </w:rPr>
        <w:t>快速开关的暂态耐受能力。</w:t>
      </w:r>
    </w:p>
    <w:p w14:paraId="1FAEF96E">
      <w:pPr>
        <w:rPr>
          <w:rFonts w:hint="default"/>
          <w:color w:val="000000"/>
          <w:sz w:val="21"/>
          <w:szCs w:val="21"/>
          <w:lang w:val="en-US" w:eastAsia="zh-CN"/>
        </w:rPr>
      </w:pPr>
      <w:r>
        <w:rPr>
          <w:rFonts w:hint="eastAsia"/>
          <w:color w:val="000000"/>
          <w:sz w:val="21"/>
          <w:szCs w:val="21"/>
          <w:lang w:val="en-US" w:eastAsia="zh-CN"/>
        </w:rPr>
        <w:t>4.9</w:t>
      </w:r>
      <w:r>
        <w:rPr>
          <w:rFonts w:hint="default"/>
          <w:color w:val="000000"/>
          <w:sz w:val="21"/>
          <w:szCs w:val="21"/>
          <w:lang w:val="en-US" w:eastAsia="zh-CN"/>
        </w:rPr>
        <w:t>.4.3 研究结论。应明确直流快速开关的基本技术要求。</w:t>
      </w:r>
    </w:p>
    <w:p w14:paraId="039076C2">
      <w:pPr>
        <w:outlineLvl w:val="2"/>
        <w:rPr>
          <w:rFonts w:hint="default" w:ascii="Times New Roman" w:hAnsi="Times New Roman" w:eastAsia="宋体"/>
          <w:color w:val="000000"/>
          <w:sz w:val="21"/>
          <w:szCs w:val="21"/>
          <w:lang w:val="en-US" w:eastAsia="zh-CN"/>
        </w:rPr>
      </w:pPr>
      <w:bookmarkStart w:id="353" w:name="_Toc19310"/>
      <w:r>
        <w:rPr>
          <w:rFonts w:hint="eastAsia"/>
          <w:color w:val="000000"/>
          <w:sz w:val="21"/>
          <w:szCs w:val="21"/>
          <w:lang w:val="en-US" w:eastAsia="zh-CN"/>
        </w:rPr>
        <w:t>4.9</w:t>
      </w:r>
      <w:r>
        <w:rPr>
          <w:rFonts w:hint="default" w:ascii="Times New Roman" w:hAnsi="Times New Roman" w:eastAsia="宋体"/>
          <w:color w:val="000000"/>
          <w:sz w:val="21"/>
          <w:szCs w:val="21"/>
          <w:lang w:val="en-US" w:eastAsia="zh-CN"/>
        </w:rPr>
        <w:t>.5 交流滤波器/阻抗适配器</w:t>
      </w:r>
      <w:r>
        <w:rPr>
          <w:rFonts w:hint="eastAsia"/>
          <w:color w:val="000000"/>
          <w:sz w:val="21"/>
          <w:szCs w:val="21"/>
          <w:lang w:val="en-US" w:eastAsia="zh-CN"/>
        </w:rPr>
        <w:t>用</w:t>
      </w:r>
      <w:r>
        <w:rPr>
          <w:rFonts w:hint="default" w:ascii="Times New Roman" w:hAnsi="Times New Roman" w:eastAsia="宋体"/>
          <w:color w:val="000000"/>
          <w:sz w:val="21"/>
          <w:szCs w:val="21"/>
          <w:lang w:val="en-US" w:eastAsia="zh-CN"/>
        </w:rPr>
        <w:t>断路器研究</w:t>
      </w:r>
      <w:bookmarkEnd w:id="353"/>
    </w:p>
    <w:p w14:paraId="6BAA642E">
      <w:pPr>
        <w:rPr>
          <w:rFonts w:hint="default"/>
          <w:color w:val="000000"/>
          <w:sz w:val="21"/>
          <w:szCs w:val="21"/>
          <w:lang w:val="en-US" w:eastAsia="zh-CN"/>
        </w:rPr>
      </w:pPr>
      <w:r>
        <w:rPr>
          <w:rFonts w:hint="eastAsia"/>
          <w:color w:val="000000"/>
          <w:sz w:val="21"/>
          <w:szCs w:val="21"/>
          <w:lang w:val="en-US" w:eastAsia="zh-CN"/>
        </w:rPr>
        <w:t>4.9</w:t>
      </w:r>
      <w:r>
        <w:rPr>
          <w:rFonts w:hint="default"/>
          <w:color w:val="000000"/>
          <w:sz w:val="21"/>
          <w:szCs w:val="21"/>
          <w:lang w:val="en-US" w:eastAsia="zh-CN"/>
        </w:rPr>
        <w:t>.5.1 研究目的。</w:t>
      </w:r>
      <w:r>
        <w:rPr>
          <w:rFonts w:hint="eastAsia"/>
          <w:color w:val="000000"/>
          <w:sz w:val="21"/>
          <w:szCs w:val="21"/>
          <w:lang w:val="en-US" w:eastAsia="zh-CN"/>
        </w:rPr>
        <w:t>应</w:t>
      </w:r>
      <w:r>
        <w:rPr>
          <w:rFonts w:hint="default"/>
          <w:color w:val="000000"/>
          <w:sz w:val="21"/>
          <w:szCs w:val="21"/>
          <w:lang w:val="en-US" w:eastAsia="zh-CN"/>
        </w:rPr>
        <w:t>确定交流滤波器/阻抗适配器用断路器的特殊要求。</w:t>
      </w:r>
    </w:p>
    <w:p w14:paraId="7250FE2B">
      <w:pPr>
        <w:rPr>
          <w:rFonts w:hint="default"/>
          <w:color w:val="000000"/>
          <w:sz w:val="21"/>
          <w:szCs w:val="21"/>
          <w:lang w:val="en-US" w:eastAsia="zh-CN"/>
        </w:rPr>
      </w:pPr>
      <w:r>
        <w:rPr>
          <w:rFonts w:hint="eastAsia"/>
          <w:color w:val="000000"/>
          <w:sz w:val="21"/>
          <w:szCs w:val="21"/>
          <w:lang w:val="en-US" w:eastAsia="zh-CN"/>
        </w:rPr>
        <w:t>4.9</w:t>
      </w:r>
      <w:r>
        <w:rPr>
          <w:rFonts w:hint="default"/>
          <w:color w:val="000000"/>
          <w:sz w:val="21"/>
          <w:szCs w:val="21"/>
          <w:lang w:val="en-US" w:eastAsia="zh-CN"/>
        </w:rPr>
        <w:t>.5.2 研究要点</w:t>
      </w:r>
    </w:p>
    <w:p w14:paraId="7762D892">
      <w:pPr>
        <w:ind w:firstLine="420"/>
        <w:rPr>
          <w:rFonts w:hint="default" w:ascii="Times New Roman" w:hAnsi="Times New Roman" w:eastAsia="宋体"/>
          <w:sz w:val="21"/>
          <w:szCs w:val="21"/>
          <w:lang w:val="en-US" w:eastAsia="zh-CN"/>
        </w:rPr>
      </w:pPr>
      <w:r>
        <w:rPr>
          <w:rFonts w:hint="default" w:ascii="Times New Roman" w:hAnsi="Times New Roman" w:eastAsia="宋体"/>
          <w:sz w:val="21"/>
          <w:szCs w:val="21"/>
          <w:lang w:val="en-US" w:eastAsia="zh-CN"/>
        </w:rPr>
        <w:t>1 应充分考虑交流滤波器/阻抗适配器的稳态运行工况，提出断路器的稳态通流能力要求。</w:t>
      </w:r>
    </w:p>
    <w:p w14:paraId="13CAFBF4">
      <w:pPr>
        <w:ind w:firstLine="420"/>
        <w:rPr>
          <w:rFonts w:hint="default" w:ascii="Times New Roman" w:hAnsi="Times New Roman" w:eastAsia="宋体"/>
          <w:sz w:val="21"/>
          <w:szCs w:val="21"/>
          <w:lang w:val="en-US" w:eastAsia="zh-CN"/>
        </w:rPr>
      </w:pPr>
      <w:r>
        <w:rPr>
          <w:rFonts w:hint="default" w:ascii="Times New Roman" w:hAnsi="Times New Roman" w:eastAsia="宋体"/>
          <w:sz w:val="21"/>
          <w:szCs w:val="21"/>
          <w:lang w:val="en-US" w:eastAsia="zh-CN"/>
        </w:rPr>
        <w:t>2 应考虑交流滤波器/阻抗适配器在投切过程中电流涌流，并提出要求。</w:t>
      </w:r>
    </w:p>
    <w:p w14:paraId="4E5B0B98">
      <w:pPr>
        <w:ind w:firstLine="420"/>
        <w:rPr>
          <w:rFonts w:hint="default" w:ascii="Times New Roman" w:hAnsi="Times New Roman" w:eastAsia="宋体"/>
          <w:sz w:val="21"/>
          <w:szCs w:val="21"/>
          <w:lang w:val="en-US" w:eastAsia="zh-CN"/>
        </w:rPr>
      </w:pPr>
      <w:r>
        <w:rPr>
          <w:rFonts w:hint="default" w:ascii="Times New Roman" w:hAnsi="Times New Roman" w:eastAsia="宋体"/>
          <w:sz w:val="21"/>
          <w:szCs w:val="21"/>
          <w:lang w:val="en-US" w:eastAsia="zh-CN"/>
        </w:rPr>
        <w:t>3 应考虑直流换流站全部闭锁工况下，断路器端间的最大</w:t>
      </w:r>
      <w:r>
        <w:rPr>
          <w:rFonts w:hint="eastAsia"/>
          <w:sz w:val="21"/>
          <w:szCs w:val="21"/>
          <w:lang w:val="en-US" w:eastAsia="zh-CN"/>
        </w:rPr>
        <w:t>瞬态恢复电压</w:t>
      </w:r>
      <w:r>
        <w:rPr>
          <w:rFonts w:hint="default" w:ascii="Times New Roman" w:hAnsi="Times New Roman" w:eastAsia="宋体"/>
          <w:sz w:val="21"/>
          <w:szCs w:val="21"/>
          <w:lang w:val="en-US" w:eastAsia="zh-CN"/>
        </w:rPr>
        <w:t>。交流系统应考虑最大运行方式与最小运行方式。</w:t>
      </w:r>
    </w:p>
    <w:p w14:paraId="7A48655C">
      <w:pPr>
        <w:ind w:firstLine="420"/>
        <w:rPr>
          <w:rFonts w:hint="default" w:ascii="Times New Roman" w:hAnsi="Times New Roman" w:eastAsia="宋体"/>
          <w:sz w:val="21"/>
          <w:szCs w:val="21"/>
          <w:lang w:val="en-US" w:eastAsia="zh-CN"/>
        </w:rPr>
      </w:pPr>
      <w:r>
        <w:rPr>
          <w:rFonts w:hint="default" w:ascii="Times New Roman" w:hAnsi="Times New Roman" w:eastAsia="宋体"/>
          <w:sz w:val="21"/>
          <w:szCs w:val="21"/>
          <w:lang w:val="en-US" w:eastAsia="zh-CN"/>
        </w:rPr>
        <w:t>4 应根据断路器的运行工况，综合确定断路器的等级要求与试验要求。</w:t>
      </w:r>
    </w:p>
    <w:p w14:paraId="41208E0F">
      <w:pPr>
        <w:rPr>
          <w:rFonts w:hint="default"/>
          <w:color w:val="000000"/>
          <w:sz w:val="21"/>
          <w:szCs w:val="21"/>
          <w:lang w:val="en-US" w:eastAsia="zh-CN"/>
        </w:rPr>
      </w:pPr>
      <w:r>
        <w:rPr>
          <w:rFonts w:hint="eastAsia"/>
          <w:color w:val="000000"/>
          <w:sz w:val="21"/>
          <w:szCs w:val="21"/>
          <w:lang w:val="en-US" w:eastAsia="zh-CN"/>
        </w:rPr>
        <w:t>4.9</w:t>
      </w:r>
      <w:r>
        <w:rPr>
          <w:rFonts w:hint="default"/>
          <w:color w:val="000000"/>
          <w:sz w:val="21"/>
          <w:szCs w:val="21"/>
          <w:lang w:val="en-US" w:eastAsia="zh-CN"/>
        </w:rPr>
        <w:t>.5.3 研究结论。应明确断路器的稳态通流能力、电流涌流能力、端间最大</w:t>
      </w:r>
      <w:r>
        <w:rPr>
          <w:rFonts w:hint="eastAsia"/>
          <w:sz w:val="21"/>
          <w:szCs w:val="21"/>
          <w:lang w:val="en-US" w:eastAsia="zh-CN"/>
        </w:rPr>
        <w:t>瞬态恢复电压</w:t>
      </w:r>
      <w:r>
        <w:rPr>
          <w:rFonts w:hint="default"/>
          <w:color w:val="000000"/>
          <w:sz w:val="21"/>
          <w:szCs w:val="21"/>
          <w:lang w:val="en-US" w:eastAsia="zh-CN"/>
        </w:rPr>
        <w:t>及相关试验要求。</w:t>
      </w:r>
    </w:p>
    <w:p w14:paraId="6AA88EC4">
      <w:pPr>
        <w:outlineLvl w:val="2"/>
        <w:rPr>
          <w:rFonts w:hint="default" w:ascii="Times New Roman" w:hAnsi="Times New Roman" w:eastAsia="宋体"/>
          <w:color w:val="000000"/>
          <w:sz w:val="21"/>
          <w:szCs w:val="21"/>
          <w:lang w:val="en-US" w:eastAsia="zh-CN"/>
        </w:rPr>
      </w:pPr>
      <w:bookmarkStart w:id="354" w:name="_Toc1993"/>
      <w:r>
        <w:rPr>
          <w:rFonts w:hint="eastAsia"/>
          <w:color w:val="000000"/>
          <w:sz w:val="21"/>
          <w:szCs w:val="21"/>
          <w:lang w:val="en-US" w:eastAsia="zh-CN"/>
        </w:rPr>
        <w:t>4.9</w:t>
      </w:r>
      <w:r>
        <w:rPr>
          <w:rFonts w:hint="default" w:ascii="Times New Roman" w:hAnsi="Times New Roman" w:eastAsia="宋体"/>
          <w:color w:val="000000"/>
          <w:sz w:val="21"/>
          <w:szCs w:val="21"/>
          <w:lang w:val="en-US" w:eastAsia="zh-CN"/>
        </w:rPr>
        <w:t>.6 接地装置研究</w:t>
      </w:r>
      <w:bookmarkEnd w:id="354"/>
    </w:p>
    <w:p w14:paraId="59EFDB5F">
      <w:pPr>
        <w:rPr>
          <w:rFonts w:hint="default"/>
          <w:color w:val="000000"/>
          <w:sz w:val="21"/>
          <w:szCs w:val="21"/>
          <w:lang w:val="en-US" w:eastAsia="zh-CN"/>
        </w:rPr>
      </w:pPr>
      <w:r>
        <w:rPr>
          <w:rFonts w:hint="eastAsia"/>
          <w:color w:val="000000"/>
          <w:sz w:val="21"/>
          <w:szCs w:val="21"/>
          <w:lang w:val="en-US" w:eastAsia="zh-CN"/>
        </w:rPr>
        <w:t>4.9</w:t>
      </w:r>
      <w:r>
        <w:rPr>
          <w:rFonts w:hint="default"/>
          <w:color w:val="000000"/>
          <w:sz w:val="21"/>
          <w:szCs w:val="21"/>
          <w:lang w:val="en-US" w:eastAsia="zh-CN"/>
        </w:rPr>
        <w:t>.6.1 研究目的。</w:t>
      </w:r>
      <w:r>
        <w:rPr>
          <w:rFonts w:hint="eastAsia"/>
          <w:color w:val="000000"/>
          <w:sz w:val="21"/>
          <w:szCs w:val="21"/>
          <w:lang w:val="en-US" w:eastAsia="zh-CN"/>
        </w:rPr>
        <w:t>应</w:t>
      </w:r>
      <w:r>
        <w:rPr>
          <w:rFonts w:hint="default"/>
          <w:color w:val="000000"/>
          <w:sz w:val="21"/>
          <w:szCs w:val="21"/>
          <w:lang w:val="en-US" w:eastAsia="zh-CN"/>
        </w:rPr>
        <w:t>确定对称单极柔性直流输电系统的接地装置参数。</w:t>
      </w:r>
    </w:p>
    <w:p w14:paraId="25EDDA27">
      <w:pPr>
        <w:rPr>
          <w:rFonts w:hint="default"/>
          <w:color w:val="000000"/>
          <w:sz w:val="21"/>
          <w:szCs w:val="21"/>
          <w:lang w:val="en-US" w:eastAsia="zh-CN"/>
        </w:rPr>
      </w:pPr>
      <w:r>
        <w:rPr>
          <w:rFonts w:hint="eastAsia"/>
          <w:color w:val="000000"/>
          <w:sz w:val="21"/>
          <w:szCs w:val="21"/>
          <w:lang w:val="en-US" w:eastAsia="zh-CN"/>
        </w:rPr>
        <w:t>4.9</w:t>
      </w:r>
      <w:r>
        <w:rPr>
          <w:rFonts w:hint="default"/>
          <w:color w:val="000000"/>
          <w:sz w:val="21"/>
          <w:szCs w:val="21"/>
          <w:lang w:val="en-US" w:eastAsia="zh-CN"/>
        </w:rPr>
        <w:t>.6.2 研究要点</w:t>
      </w:r>
    </w:p>
    <w:p w14:paraId="18B75544">
      <w:pPr>
        <w:ind w:firstLine="420"/>
        <w:rPr>
          <w:rFonts w:hint="default" w:ascii="Times New Roman" w:hAnsi="Times New Roman" w:eastAsia="宋体"/>
          <w:sz w:val="21"/>
          <w:szCs w:val="21"/>
          <w:lang w:val="en-US" w:eastAsia="zh-CN"/>
        </w:rPr>
      </w:pPr>
      <w:r>
        <w:rPr>
          <w:rFonts w:hint="default" w:ascii="Times New Roman" w:hAnsi="Times New Roman" w:eastAsia="宋体"/>
          <w:sz w:val="21"/>
          <w:szCs w:val="21"/>
          <w:lang w:val="en-US" w:eastAsia="zh-CN"/>
        </w:rPr>
        <w:t>1 结合换流站拓扑特点，对比不同接地方式的优劣，推荐换流站的接地方式。</w:t>
      </w:r>
    </w:p>
    <w:p w14:paraId="44ED14A1">
      <w:pPr>
        <w:ind w:firstLine="420"/>
        <w:rPr>
          <w:rFonts w:hint="default" w:ascii="Times New Roman" w:hAnsi="Times New Roman" w:eastAsia="宋体"/>
          <w:sz w:val="21"/>
          <w:szCs w:val="21"/>
          <w:lang w:val="en-US" w:eastAsia="zh-CN"/>
        </w:rPr>
      </w:pPr>
      <w:r>
        <w:rPr>
          <w:rFonts w:hint="default" w:ascii="Times New Roman" w:hAnsi="Times New Roman" w:eastAsia="宋体"/>
          <w:sz w:val="21"/>
          <w:szCs w:val="21"/>
          <w:lang w:val="en-US" w:eastAsia="zh-CN"/>
        </w:rPr>
        <w:t>2 应考虑接地方式对故障零序电流的影响，对三次谐波的影响。</w:t>
      </w:r>
    </w:p>
    <w:p w14:paraId="0EB3EE00">
      <w:pPr>
        <w:ind w:firstLine="420"/>
        <w:rPr>
          <w:rFonts w:hint="default" w:ascii="Times New Roman" w:hAnsi="Times New Roman" w:eastAsia="宋体"/>
          <w:sz w:val="21"/>
          <w:szCs w:val="21"/>
          <w:lang w:val="en-US" w:eastAsia="zh-CN"/>
        </w:rPr>
      </w:pPr>
      <w:r>
        <w:rPr>
          <w:rFonts w:hint="default" w:ascii="Times New Roman" w:hAnsi="Times New Roman" w:eastAsia="宋体"/>
          <w:sz w:val="21"/>
          <w:szCs w:val="21"/>
          <w:lang w:val="en-US" w:eastAsia="zh-CN"/>
        </w:rPr>
        <w:t>3 应考虑接地方式对相关设备耐受要求的影响。</w:t>
      </w:r>
    </w:p>
    <w:p w14:paraId="1A9BD971">
      <w:pPr>
        <w:ind w:firstLine="420"/>
        <w:rPr>
          <w:rFonts w:hint="default" w:ascii="Times New Roman" w:hAnsi="Times New Roman" w:eastAsia="宋体"/>
          <w:sz w:val="21"/>
          <w:szCs w:val="21"/>
          <w:lang w:val="en-US" w:eastAsia="zh-CN"/>
        </w:rPr>
      </w:pPr>
      <w:r>
        <w:rPr>
          <w:rFonts w:hint="default" w:ascii="Times New Roman" w:hAnsi="Times New Roman" w:eastAsia="宋体"/>
          <w:sz w:val="21"/>
          <w:szCs w:val="21"/>
          <w:lang w:val="en-US" w:eastAsia="zh-CN"/>
        </w:rPr>
        <w:t>4 应提出接地装置的配置及其设备参数要求。</w:t>
      </w:r>
    </w:p>
    <w:p w14:paraId="1909E9A4">
      <w:pPr>
        <w:rPr>
          <w:rFonts w:hint="default"/>
          <w:szCs w:val="21"/>
          <w:lang w:val="en-US" w:eastAsia="zh-CN"/>
        </w:rPr>
      </w:pPr>
      <w:r>
        <w:rPr>
          <w:rFonts w:hint="eastAsia"/>
          <w:szCs w:val="21"/>
          <w:lang w:val="en-US" w:eastAsia="zh-CN"/>
        </w:rPr>
        <w:t>4.9</w:t>
      </w:r>
      <w:r>
        <w:rPr>
          <w:rFonts w:hint="default"/>
          <w:szCs w:val="21"/>
          <w:lang w:val="en-US" w:eastAsia="zh-CN"/>
        </w:rPr>
        <w:t>.6.3 研究结论。应明确换流站的接地方式、接地装置配置及其设备参数要求。</w:t>
      </w:r>
    </w:p>
    <w:p w14:paraId="15CC2C6B">
      <w:pPr>
        <w:pStyle w:val="3"/>
        <w:rPr>
          <w:rFonts w:hint="default"/>
          <w:lang w:val="en-US" w:eastAsia="zh-CN"/>
        </w:rPr>
      </w:pPr>
      <w:bookmarkStart w:id="355" w:name="_Toc20380"/>
      <w:bookmarkStart w:id="356" w:name="_Toc20663"/>
      <w:bookmarkStart w:id="357" w:name="_Toc12345"/>
      <w:bookmarkStart w:id="358" w:name="_Toc27464"/>
      <w:bookmarkStart w:id="359" w:name="_Toc7760"/>
      <w:bookmarkStart w:id="360" w:name="_Toc4159"/>
      <w:bookmarkStart w:id="361" w:name="_Toc24217"/>
      <w:bookmarkStart w:id="362" w:name="_Toc1356"/>
      <w:bookmarkStart w:id="363" w:name="_Toc24648"/>
      <w:bookmarkStart w:id="364" w:name="_Toc8431"/>
      <w:bookmarkStart w:id="365" w:name="_Toc3991"/>
      <w:bookmarkStart w:id="366" w:name="_Toc16510"/>
      <w:bookmarkStart w:id="367" w:name="_Toc28562"/>
      <w:bookmarkStart w:id="368" w:name="_Toc20481"/>
      <w:r>
        <w:rPr>
          <w:rFonts w:hint="eastAsia"/>
          <w:lang w:val="en-US" w:eastAsia="zh-CN"/>
        </w:rPr>
        <w:t>4.10 直流控制</w:t>
      </w:r>
      <w:r>
        <w:rPr>
          <w:rFonts w:hint="default"/>
          <w:lang w:val="en-US" w:eastAsia="zh-CN"/>
        </w:rPr>
        <w:t>保护</w:t>
      </w:r>
      <w:r>
        <w:rPr>
          <w:rFonts w:hint="eastAsia"/>
          <w:lang w:val="en-US" w:eastAsia="zh-CN"/>
        </w:rPr>
        <w:t>策略与保护定值研究</w:t>
      </w:r>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p>
    <w:p w14:paraId="1697BCD9">
      <w:pPr>
        <w:outlineLvl w:val="2"/>
        <w:rPr>
          <w:rFonts w:hint="default" w:ascii="Times New Roman" w:hAnsi="Times New Roman" w:eastAsia="宋体"/>
          <w:color w:val="000000"/>
          <w:szCs w:val="21"/>
          <w:lang w:val="en-US" w:eastAsia="zh-CN"/>
        </w:rPr>
      </w:pPr>
      <w:bookmarkStart w:id="369" w:name="_Toc30478"/>
      <w:bookmarkStart w:id="370" w:name="_Toc25553"/>
      <w:bookmarkStart w:id="371" w:name="_Toc22766"/>
      <w:r>
        <w:rPr>
          <w:rFonts w:hint="eastAsia"/>
          <w:color w:val="000000"/>
          <w:szCs w:val="21"/>
          <w:lang w:val="en-US" w:eastAsia="zh-CN"/>
        </w:rPr>
        <w:t>4.10</w:t>
      </w:r>
      <w:r>
        <w:rPr>
          <w:rFonts w:hint="default" w:ascii="Times New Roman" w:hAnsi="Times New Roman" w:eastAsia="宋体"/>
          <w:color w:val="000000"/>
          <w:szCs w:val="21"/>
          <w:lang w:val="en-US" w:eastAsia="zh-CN"/>
        </w:rPr>
        <w:t>.1 直流保护定值研究</w:t>
      </w:r>
      <w:bookmarkEnd w:id="369"/>
    </w:p>
    <w:p w14:paraId="569B62C0">
      <w:pPr>
        <w:rPr>
          <w:rFonts w:hint="default"/>
          <w:sz w:val="21"/>
          <w:szCs w:val="21"/>
          <w:lang w:val="en-US" w:eastAsia="zh-CN"/>
        </w:rPr>
      </w:pPr>
      <w:r>
        <w:rPr>
          <w:rFonts w:hint="eastAsia"/>
          <w:sz w:val="21"/>
          <w:szCs w:val="21"/>
          <w:lang w:val="en-US" w:eastAsia="zh-CN"/>
        </w:rPr>
        <w:t>4.10</w:t>
      </w:r>
      <w:r>
        <w:rPr>
          <w:rFonts w:hint="default"/>
          <w:sz w:val="21"/>
          <w:szCs w:val="21"/>
          <w:lang w:val="en-US" w:eastAsia="zh-CN"/>
        </w:rPr>
        <w:t>.1.1 研究目的。</w:t>
      </w:r>
      <w:r>
        <w:rPr>
          <w:rFonts w:hint="eastAsia"/>
          <w:sz w:val="21"/>
          <w:szCs w:val="21"/>
          <w:lang w:val="en-US" w:eastAsia="zh-CN"/>
        </w:rPr>
        <w:t>应</w:t>
      </w:r>
      <w:r>
        <w:rPr>
          <w:rFonts w:hint="default"/>
          <w:sz w:val="21"/>
          <w:szCs w:val="21"/>
          <w:lang w:val="en-US" w:eastAsia="zh-CN"/>
        </w:rPr>
        <w:t>确定直流保护的基本分区、配置与保护定值。</w:t>
      </w:r>
    </w:p>
    <w:p w14:paraId="76A4D992">
      <w:pPr>
        <w:rPr>
          <w:rFonts w:hint="default"/>
          <w:sz w:val="21"/>
          <w:szCs w:val="21"/>
          <w:lang w:val="en-US" w:eastAsia="zh-CN"/>
        </w:rPr>
      </w:pPr>
      <w:r>
        <w:rPr>
          <w:rFonts w:hint="eastAsia"/>
          <w:sz w:val="21"/>
          <w:szCs w:val="21"/>
          <w:lang w:val="en-US" w:eastAsia="zh-CN"/>
        </w:rPr>
        <w:t>4.10</w:t>
      </w:r>
      <w:r>
        <w:rPr>
          <w:rFonts w:hint="default"/>
          <w:sz w:val="21"/>
          <w:szCs w:val="21"/>
          <w:lang w:val="en-US" w:eastAsia="zh-CN"/>
        </w:rPr>
        <w:t>.1.2 研究要点</w:t>
      </w:r>
    </w:p>
    <w:p w14:paraId="5E74D8B9">
      <w:pPr>
        <w:ind w:firstLine="420"/>
        <w:rPr>
          <w:rFonts w:hint="default" w:ascii="Times New Roman" w:hAnsi="Times New Roman" w:eastAsia="宋体"/>
          <w:sz w:val="21"/>
          <w:szCs w:val="21"/>
          <w:lang w:val="en-US" w:eastAsia="zh-CN"/>
        </w:rPr>
      </w:pPr>
      <w:r>
        <w:rPr>
          <w:rFonts w:hint="default" w:ascii="Times New Roman" w:hAnsi="Times New Roman" w:eastAsia="宋体"/>
          <w:sz w:val="21"/>
          <w:szCs w:val="21"/>
          <w:lang w:val="en-US" w:eastAsia="zh-CN"/>
        </w:rPr>
        <w:t>1 根据直流换流站的拓扑，确定直流保护的基本分区。</w:t>
      </w:r>
    </w:p>
    <w:p w14:paraId="05D4AA06">
      <w:pPr>
        <w:ind w:firstLine="420"/>
        <w:rPr>
          <w:rFonts w:hint="default" w:ascii="Times New Roman" w:hAnsi="Times New Roman" w:eastAsia="宋体"/>
          <w:sz w:val="21"/>
          <w:szCs w:val="21"/>
          <w:lang w:val="en-US" w:eastAsia="zh-CN"/>
        </w:rPr>
      </w:pPr>
      <w:r>
        <w:rPr>
          <w:rFonts w:hint="default" w:ascii="Times New Roman" w:hAnsi="Times New Roman" w:eastAsia="宋体"/>
          <w:sz w:val="21"/>
          <w:szCs w:val="21"/>
          <w:lang w:val="en-US" w:eastAsia="zh-CN"/>
        </w:rPr>
        <w:t>2 根据换流站的拓扑以及测点配置，确定直流保护的基本类型</w:t>
      </w:r>
    </w:p>
    <w:p w14:paraId="5EB329DB">
      <w:pPr>
        <w:ind w:firstLine="420"/>
        <w:rPr>
          <w:rFonts w:hint="default" w:ascii="Times New Roman" w:hAnsi="Times New Roman" w:eastAsia="宋体"/>
          <w:sz w:val="21"/>
          <w:szCs w:val="21"/>
          <w:lang w:val="en-US" w:eastAsia="zh-CN"/>
        </w:rPr>
      </w:pPr>
      <w:r>
        <w:rPr>
          <w:rFonts w:hint="default" w:ascii="Times New Roman" w:hAnsi="Times New Roman" w:eastAsia="宋体"/>
          <w:sz w:val="21"/>
          <w:szCs w:val="21"/>
          <w:lang w:val="en-US" w:eastAsia="zh-CN"/>
        </w:rPr>
        <w:t>2 根据系统要求，确定保护定值要求。保护定值需经过电磁暂态仿真验证。</w:t>
      </w:r>
    </w:p>
    <w:p w14:paraId="4E2BE973">
      <w:pPr>
        <w:rPr>
          <w:rFonts w:hint="default"/>
          <w:color w:val="000000"/>
          <w:sz w:val="21"/>
          <w:szCs w:val="21"/>
          <w:lang w:val="en-US" w:eastAsia="zh-CN"/>
        </w:rPr>
      </w:pPr>
      <w:r>
        <w:rPr>
          <w:rFonts w:hint="eastAsia"/>
          <w:color w:val="000000"/>
          <w:sz w:val="21"/>
          <w:szCs w:val="21"/>
          <w:lang w:val="en-US" w:eastAsia="zh-CN"/>
        </w:rPr>
        <w:t>4.10</w:t>
      </w:r>
      <w:r>
        <w:rPr>
          <w:rFonts w:hint="default"/>
          <w:color w:val="000000"/>
          <w:sz w:val="21"/>
          <w:szCs w:val="21"/>
          <w:lang w:val="en-US" w:eastAsia="zh-CN"/>
        </w:rPr>
        <w:t>.1.3 研究结论。</w:t>
      </w:r>
      <w:r>
        <w:rPr>
          <w:rFonts w:hint="eastAsia"/>
          <w:color w:val="000000"/>
          <w:sz w:val="21"/>
          <w:szCs w:val="21"/>
          <w:lang w:val="en-US" w:eastAsia="zh-CN"/>
        </w:rPr>
        <w:t>应</w:t>
      </w:r>
      <w:r>
        <w:rPr>
          <w:rFonts w:hint="default"/>
          <w:color w:val="000000"/>
          <w:sz w:val="21"/>
          <w:szCs w:val="21"/>
          <w:lang w:val="en-US" w:eastAsia="zh-CN"/>
        </w:rPr>
        <w:t>提出直流保护配置以及保护定值要求。</w:t>
      </w:r>
    </w:p>
    <w:p w14:paraId="2834E6D7">
      <w:pPr>
        <w:outlineLvl w:val="2"/>
        <w:rPr>
          <w:rFonts w:hint="default" w:ascii="Times New Roman" w:hAnsi="Times New Roman" w:eastAsia="宋体"/>
          <w:color w:val="000000"/>
          <w:sz w:val="21"/>
          <w:szCs w:val="21"/>
          <w:lang w:val="en-US" w:eastAsia="zh-CN"/>
        </w:rPr>
      </w:pPr>
      <w:bookmarkStart w:id="372" w:name="_Toc11119"/>
      <w:r>
        <w:rPr>
          <w:rFonts w:hint="eastAsia"/>
          <w:color w:val="000000"/>
          <w:sz w:val="21"/>
          <w:szCs w:val="21"/>
          <w:lang w:val="en-US" w:eastAsia="zh-CN"/>
        </w:rPr>
        <w:t>4.10</w:t>
      </w:r>
      <w:r>
        <w:rPr>
          <w:rFonts w:hint="default" w:ascii="Times New Roman" w:hAnsi="Times New Roman" w:eastAsia="宋体"/>
          <w:color w:val="000000"/>
          <w:sz w:val="21"/>
          <w:szCs w:val="21"/>
          <w:lang w:val="en-US" w:eastAsia="zh-CN"/>
        </w:rPr>
        <w:t>.2 线路保护定值研究</w:t>
      </w:r>
      <w:bookmarkEnd w:id="372"/>
    </w:p>
    <w:p w14:paraId="39C06EDF">
      <w:pPr>
        <w:rPr>
          <w:rFonts w:hint="default"/>
          <w:color w:val="000000"/>
          <w:sz w:val="21"/>
          <w:szCs w:val="21"/>
          <w:lang w:val="en-US" w:eastAsia="zh-CN"/>
        </w:rPr>
      </w:pPr>
      <w:r>
        <w:rPr>
          <w:rFonts w:hint="eastAsia"/>
          <w:color w:val="000000"/>
          <w:sz w:val="21"/>
          <w:szCs w:val="21"/>
          <w:lang w:val="en-US" w:eastAsia="zh-CN"/>
        </w:rPr>
        <w:t>4.10</w:t>
      </w:r>
      <w:r>
        <w:rPr>
          <w:rFonts w:hint="default"/>
          <w:color w:val="000000"/>
          <w:sz w:val="21"/>
          <w:szCs w:val="21"/>
          <w:lang w:val="en-US" w:eastAsia="zh-CN"/>
        </w:rPr>
        <w:t>.2.1 研究目的。</w:t>
      </w:r>
      <w:r>
        <w:rPr>
          <w:rFonts w:hint="eastAsia"/>
          <w:sz w:val="21"/>
          <w:szCs w:val="21"/>
          <w:lang w:val="en-US" w:eastAsia="zh-CN"/>
        </w:rPr>
        <w:t>应</w:t>
      </w:r>
      <w:r>
        <w:rPr>
          <w:rFonts w:hint="default"/>
          <w:color w:val="000000"/>
          <w:sz w:val="21"/>
          <w:szCs w:val="21"/>
          <w:lang w:val="en-US" w:eastAsia="zh-CN"/>
        </w:rPr>
        <w:t>确定线路保护的基本配置与保护定值。</w:t>
      </w:r>
    </w:p>
    <w:p w14:paraId="0099551D">
      <w:pPr>
        <w:rPr>
          <w:rFonts w:hint="default"/>
          <w:color w:val="000000"/>
          <w:sz w:val="21"/>
          <w:szCs w:val="21"/>
          <w:lang w:val="en-US" w:eastAsia="zh-CN"/>
        </w:rPr>
      </w:pPr>
      <w:r>
        <w:rPr>
          <w:rFonts w:hint="eastAsia"/>
          <w:color w:val="000000"/>
          <w:sz w:val="21"/>
          <w:szCs w:val="21"/>
          <w:lang w:val="en-US" w:eastAsia="zh-CN"/>
        </w:rPr>
        <w:t>4.10</w:t>
      </w:r>
      <w:r>
        <w:rPr>
          <w:rFonts w:hint="default"/>
          <w:color w:val="000000"/>
          <w:sz w:val="21"/>
          <w:szCs w:val="21"/>
          <w:lang w:val="en-US" w:eastAsia="zh-CN"/>
        </w:rPr>
        <w:t>.2.2 研究要点</w:t>
      </w:r>
    </w:p>
    <w:p w14:paraId="3FA3CE26">
      <w:pPr>
        <w:ind w:firstLine="420"/>
        <w:rPr>
          <w:rFonts w:hint="default" w:ascii="Times New Roman" w:hAnsi="Times New Roman" w:eastAsia="宋体"/>
          <w:sz w:val="21"/>
          <w:szCs w:val="21"/>
          <w:lang w:val="en-US" w:eastAsia="zh-CN"/>
        </w:rPr>
      </w:pPr>
      <w:r>
        <w:rPr>
          <w:rFonts w:hint="default" w:ascii="Times New Roman" w:hAnsi="Times New Roman" w:eastAsia="宋体"/>
          <w:sz w:val="21"/>
          <w:szCs w:val="21"/>
          <w:lang w:val="en-US" w:eastAsia="zh-CN"/>
        </w:rPr>
        <w:t>1 确定线路保护的基本类型，一般包括直流线路行波保护、直流线路电压突变量保护、直流线路低电压保护、直流线路纵差保护、交直流碰线保护、金属回线纵差保护等。</w:t>
      </w:r>
    </w:p>
    <w:p w14:paraId="259D8245">
      <w:pPr>
        <w:ind w:firstLine="420"/>
        <w:rPr>
          <w:rFonts w:hint="default" w:ascii="Times New Roman" w:hAnsi="Times New Roman" w:eastAsia="宋体"/>
          <w:sz w:val="21"/>
          <w:szCs w:val="21"/>
          <w:lang w:val="en-US" w:eastAsia="zh-CN"/>
        </w:rPr>
      </w:pPr>
      <w:r>
        <w:rPr>
          <w:rFonts w:hint="default" w:ascii="Times New Roman" w:hAnsi="Times New Roman" w:eastAsia="宋体"/>
          <w:sz w:val="21"/>
          <w:szCs w:val="21"/>
          <w:lang w:val="en-US" w:eastAsia="zh-CN"/>
        </w:rPr>
        <w:t>2 根据系统要求，确定保护定值要求。保护定值需经过电磁暂态仿真验证。</w:t>
      </w:r>
    </w:p>
    <w:p w14:paraId="42ED50B0">
      <w:pPr>
        <w:rPr>
          <w:rFonts w:hint="default"/>
          <w:color w:val="000000"/>
          <w:sz w:val="21"/>
          <w:szCs w:val="21"/>
          <w:lang w:val="en-US" w:eastAsia="zh-CN"/>
        </w:rPr>
      </w:pPr>
      <w:r>
        <w:rPr>
          <w:rFonts w:hint="eastAsia"/>
          <w:color w:val="000000"/>
          <w:sz w:val="21"/>
          <w:szCs w:val="21"/>
          <w:lang w:val="en-US" w:eastAsia="zh-CN"/>
        </w:rPr>
        <w:t>4.10</w:t>
      </w:r>
      <w:r>
        <w:rPr>
          <w:rFonts w:hint="default"/>
          <w:color w:val="000000"/>
          <w:sz w:val="21"/>
          <w:szCs w:val="21"/>
          <w:lang w:val="en-US" w:eastAsia="zh-CN"/>
        </w:rPr>
        <w:t>.2.3 研究结论。</w:t>
      </w:r>
      <w:r>
        <w:rPr>
          <w:rFonts w:hint="eastAsia"/>
          <w:color w:val="000000"/>
          <w:sz w:val="21"/>
          <w:szCs w:val="21"/>
          <w:lang w:val="en-US" w:eastAsia="zh-CN"/>
        </w:rPr>
        <w:t>应</w:t>
      </w:r>
      <w:r>
        <w:rPr>
          <w:rFonts w:hint="default"/>
          <w:color w:val="000000"/>
          <w:sz w:val="21"/>
          <w:szCs w:val="21"/>
          <w:lang w:val="en-US" w:eastAsia="zh-CN"/>
        </w:rPr>
        <w:t>提出线路保护配置以及保护定值要求。</w:t>
      </w:r>
    </w:p>
    <w:p w14:paraId="06D57136">
      <w:pPr>
        <w:outlineLvl w:val="2"/>
        <w:rPr>
          <w:rFonts w:hint="default" w:ascii="Times New Roman" w:hAnsi="Times New Roman" w:eastAsia="宋体"/>
          <w:color w:val="000000"/>
          <w:sz w:val="21"/>
          <w:szCs w:val="21"/>
          <w:lang w:val="en-US" w:eastAsia="zh-CN"/>
        </w:rPr>
      </w:pPr>
      <w:bookmarkStart w:id="373" w:name="_Toc22460"/>
      <w:r>
        <w:rPr>
          <w:rFonts w:hint="eastAsia"/>
          <w:color w:val="000000"/>
          <w:sz w:val="21"/>
          <w:szCs w:val="21"/>
          <w:lang w:val="en-US" w:eastAsia="zh-CN"/>
        </w:rPr>
        <w:t>4.10</w:t>
      </w:r>
      <w:r>
        <w:rPr>
          <w:rFonts w:hint="default" w:ascii="Times New Roman" w:hAnsi="Times New Roman" w:eastAsia="宋体"/>
          <w:color w:val="000000"/>
          <w:sz w:val="21"/>
          <w:szCs w:val="21"/>
          <w:lang w:val="en-US" w:eastAsia="zh-CN"/>
        </w:rPr>
        <w:t>.3 变压器保护定值研究</w:t>
      </w:r>
      <w:bookmarkEnd w:id="373"/>
    </w:p>
    <w:p w14:paraId="10177185">
      <w:pPr>
        <w:rPr>
          <w:rFonts w:hint="default"/>
          <w:color w:val="000000"/>
          <w:sz w:val="21"/>
          <w:szCs w:val="21"/>
          <w:lang w:val="en-US" w:eastAsia="zh-CN"/>
        </w:rPr>
      </w:pPr>
      <w:r>
        <w:rPr>
          <w:rFonts w:hint="eastAsia"/>
          <w:color w:val="000000"/>
          <w:sz w:val="21"/>
          <w:szCs w:val="21"/>
          <w:lang w:val="en-US" w:eastAsia="zh-CN"/>
        </w:rPr>
        <w:t>4.10</w:t>
      </w:r>
      <w:r>
        <w:rPr>
          <w:rFonts w:hint="default"/>
          <w:color w:val="000000"/>
          <w:sz w:val="21"/>
          <w:szCs w:val="21"/>
          <w:lang w:val="en-US" w:eastAsia="zh-CN"/>
        </w:rPr>
        <w:t>.3.1 研究目的。</w:t>
      </w:r>
      <w:r>
        <w:rPr>
          <w:rFonts w:hint="eastAsia"/>
          <w:sz w:val="21"/>
          <w:szCs w:val="21"/>
          <w:lang w:val="en-US" w:eastAsia="zh-CN"/>
        </w:rPr>
        <w:t>应</w:t>
      </w:r>
      <w:r>
        <w:rPr>
          <w:rFonts w:hint="default"/>
          <w:color w:val="000000"/>
          <w:sz w:val="21"/>
          <w:szCs w:val="21"/>
          <w:lang w:val="en-US" w:eastAsia="zh-CN"/>
        </w:rPr>
        <w:t>确定变压器保护的基本配置与保护定值。</w:t>
      </w:r>
    </w:p>
    <w:p w14:paraId="3E3DC996">
      <w:pPr>
        <w:rPr>
          <w:rFonts w:hint="default"/>
          <w:color w:val="000000"/>
          <w:sz w:val="21"/>
          <w:szCs w:val="21"/>
          <w:lang w:val="en-US" w:eastAsia="zh-CN"/>
        </w:rPr>
      </w:pPr>
      <w:r>
        <w:rPr>
          <w:rFonts w:hint="eastAsia"/>
          <w:color w:val="000000"/>
          <w:sz w:val="21"/>
          <w:szCs w:val="21"/>
          <w:lang w:val="en-US" w:eastAsia="zh-CN"/>
        </w:rPr>
        <w:t>4.10</w:t>
      </w:r>
      <w:r>
        <w:rPr>
          <w:rFonts w:hint="default"/>
          <w:color w:val="000000"/>
          <w:sz w:val="21"/>
          <w:szCs w:val="21"/>
          <w:lang w:val="en-US" w:eastAsia="zh-CN"/>
        </w:rPr>
        <w:t>.3.2 研究要点</w:t>
      </w:r>
    </w:p>
    <w:p w14:paraId="5BD51F7F">
      <w:pPr>
        <w:ind w:firstLine="420"/>
        <w:rPr>
          <w:rFonts w:hint="default" w:ascii="Times New Roman" w:hAnsi="Times New Roman" w:eastAsia="宋体"/>
          <w:sz w:val="21"/>
          <w:szCs w:val="21"/>
          <w:lang w:val="en-US" w:eastAsia="zh-CN"/>
        </w:rPr>
      </w:pPr>
      <w:r>
        <w:rPr>
          <w:rFonts w:hint="default" w:ascii="Times New Roman" w:hAnsi="Times New Roman" w:eastAsia="宋体"/>
          <w:sz w:val="21"/>
          <w:szCs w:val="21"/>
          <w:lang w:val="en-US" w:eastAsia="zh-CN"/>
        </w:rPr>
        <w:t>1 确定变压器保护的基本类型，一般包括差动保护、过励磁保护、过流保护、零序保护、过压保护、阻抗保护等。</w:t>
      </w:r>
    </w:p>
    <w:p w14:paraId="2A981593">
      <w:pPr>
        <w:ind w:firstLine="420"/>
        <w:rPr>
          <w:rFonts w:hint="default" w:ascii="Times New Roman" w:hAnsi="Times New Roman" w:eastAsia="宋体"/>
          <w:sz w:val="21"/>
          <w:szCs w:val="21"/>
          <w:lang w:val="en-US" w:eastAsia="zh-CN"/>
        </w:rPr>
      </w:pPr>
      <w:r>
        <w:rPr>
          <w:rFonts w:hint="default" w:ascii="Times New Roman" w:hAnsi="Times New Roman" w:eastAsia="宋体"/>
          <w:sz w:val="21"/>
          <w:szCs w:val="21"/>
          <w:lang w:val="en-US" w:eastAsia="zh-CN"/>
        </w:rPr>
        <w:t>2 根据系统要求以及变压器的耐受能力，确定保护定值要求。</w:t>
      </w:r>
    </w:p>
    <w:p w14:paraId="5F437E76">
      <w:pPr>
        <w:rPr>
          <w:rFonts w:hint="default"/>
          <w:color w:val="000000"/>
          <w:sz w:val="21"/>
          <w:szCs w:val="21"/>
          <w:lang w:val="en-US" w:eastAsia="zh-CN"/>
        </w:rPr>
      </w:pPr>
      <w:r>
        <w:rPr>
          <w:rFonts w:hint="eastAsia"/>
          <w:color w:val="000000"/>
          <w:sz w:val="21"/>
          <w:szCs w:val="21"/>
          <w:lang w:val="en-US" w:eastAsia="zh-CN"/>
        </w:rPr>
        <w:t>4.10</w:t>
      </w:r>
      <w:r>
        <w:rPr>
          <w:rFonts w:hint="default"/>
          <w:color w:val="000000"/>
          <w:sz w:val="21"/>
          <w:szCs w:val="21"/>
          <w:lang w:val="en-US" w:eastAsia="zh-CN"/>
        </w:rPr>
        <w:t>.3.3 研究结论。</w:t>
      </w:r>
      <w:r>
        <w:rPr>
          <w:rFonts w:hint="eastAsia"/>
          <w:color w:val="000000"/>
          <w:sz w:val="21"/>
          <w:szCs w:val="21"/>
          <w:lang w:val="en-US" w:eastAsia="zh-CN"/>
        </w:rPr>
        <w:t>应</w:t>
      </w:r>
      <w:r>
        <w:rPr>
          <w:rFonts w:hint="default"/>
          <w:color w:val="000000"/>
          <w:sz w:val="21"/>
          <w:szCs w:val="21"/>
          <w:lang w:val="en-US" w:eastAsia="zh-CN"/>
        </w:rPr>
        <w:t>提出变压器保护配置以及保护定值要求。</w:t>
      </w:r>
    </w:p>
    <w:p w14:paraId="63BC60FF">
      <w:pPr>
        <w:outlineLvl w:val="2"/>
        <w:rPr>
          <w:rFonts w:hint="default" w:ascii="Times New Roman" w:hAnsi="Times New Roman" w:eastAsia="宋体"/>
          <w:color w:val="000000"/>
          <w:sz w:val="21"/>
          <w:szCs w:val="21"/>
          <w:lang w:val="en-US" w:eastAsia="zh-CN"/>
        </w:rPr>
      </w:pPr>
      <w:bookmarkStart w:id="374" w:name="_Toc28018"/>
      <w:r>
        <w:rPr>
          <w:rFonts w:hint="eastAsia"/>
          <w:color w:val="000000"/>
          <w:sz w:val="21"/>
          <w:szCs w:val="21"/>
          <w:lang w:val="en-US" w:eastAsia="zh-CN"/>
        </w:rPr>
        <w:t>4.10</w:t>
      </w:r>
      <w:r>
        <w:rPr>
          <w:rFonts w:hint="default" w:ascii="Times New Roman" w:hAnsi="Times New Roman" w:eastAsia="宋体"/>
          <w:color w:val="000000"/>
          <w:sz w:val="21"/>
          <w:szCs w:val="21"/>
          <w:lang w:val="en-US" w:eastAsia="zh-CN"/>
        </w:rPr>
        <w:t>.4 直流滤波器保护定值研究</w:t>
      </w:r>
      <w:bookmarkEnd w:id="374"/>
    </w:p>
    <w:bookmarkEnd w:id="370"/>
    <w:bookmarkEnd w:id="371"/>
    <w:p w14:paraId="137AE9A0">
      <w:pPr>
        <w:rPr>
          <w:rFonts w:hint="default"/>
          <w:color w:val="000000"/>
          <w:sz w:val="21"/>
          <w:szCs w:val="21"/>
          <w:lang w:val="en-US" w:eastAsia="zh-CN"/>
        </w:rPr>
      </w:pPr>
      <w:r>
        <w:rPr>
          <w:rFonts w:hint="eastAsia"/>
          <w:color w:val="000000"/>
          <w:sz w:val="21"/>
          <w:szCs w:val="21"/>
          <w:lang w:val="en-US" w:eastAsia="zh-CN"/>
        </w:rPr>
        <w:t>4.10</w:t>
      </w:r>
      <w:r>
        <w:rPr>
          <w:rFonts w:hint="default"/>
          <w:color w:val="000000"/>
          <w:sz w:val="21"/>
          <w:szCs w:val="21"/>
          <w:lang w:val="en-US" w:eastAsia="zh-CN"/>
        </w:rPr>
        <w:t>.4.1 研究目的。</w:t>
      </w:r>
      <w:r>
        <w:rPr>
          <w:rFonts w:hint="eastAsia"/>
          <w:sz w:val="21"/>
          <w:szCs w:val="21"/>
          <w:lang w:val="en-US" w:eastAsia="zh-CN"/>
        </w:rPr>
        <w:t>应</w:t>
      </w:r>
      <w:r>
        <w:rPr>
          <w:rFonts w:hint="default"/>
          <w:color w:val="000000"/>
          <w:sz w:val="21"/>
          <w:szCs w:val="21"/>
          <w:lang w:val="en-US" w:eastAsia="zh-CN"/>
        </w:rPr>
        <w:t>根据直流滤波器的稳态和暂态定值要求以及各设备的耐受能力，推荐直流滤波器保护配置及保护定值要求。</w:t>
      </w:r>
    </w:p>
    <w:p w14:paraId="3144070E">
      <w:pPr>
        <w:rPr>
          <w:rFonts w:hint="default"/>
          <w:color w:val="000000"/>
          <w:sz w:val="21"/>
          <w:szCs w:val="21"/>
          <w:lang w:val="en-US" w:eastAsia="zh-CN"/>
        </w:rPr>
      </w:pPr>
      <w:r>
        <w:rPr>
          <w:rFonts w:hint="eastAsia"/>
          <w:color w:val="000000"/>
          <w:sz w:val="21"/>
          <w:szCs w:val="21"/>
          <w:lang w:val="en-US" w:eastAsia="zh-CN"/>
        </w:rPr>
        <w:t>4.10</w:t>
      </w:r>
      <w:r>
        <w:rPr>
          <w:rFonts w:hint="default"/>
          <w:color w:val="000000"/>
          <w:sz w:val="21"/>
          <w:szCs w:val="21"/>
          <w:lang w:val="en-US" w:eastAsia="zh-CN"/>
        </w:rPr>
        <w:t>.4.2 研究要点</w:t>
      </w:r>
    </w:p>
    <w:p w14:paraId="05301D89">
      <w:pPr>
        <w:ind w:firstLine="420"/>
        <w:rPr>
          <w:rFonts w:hint="default" w:ascii="Times New Roman" w:hAnsi="Times New Roman" w:eastAsia="宋体"/>
          <w:sz w:val="21"/>
          <w:szCs w:val="21"/>
          <w:lang w:val="en-US" w:eastAsia="zh-CN"/>
        </w:rPr>
      </w:pPr>
      <w:r>
        <w:rPr>
          <w:rFonts w:hint="default" w:ascii="Times New Roman" w:hAnsi="Times New Roman" w:eastAsia="宋体"/>
          <w:sz w:val="21"/>
          <w:szCs w:val="21"/>
          <w:lang w:val="en-US" w:eastAsia="zh-CN"/>
        </w:rPr>
        <w:t>1 根据直流滤波器的实际配置，确定其保护的基本类型，一般包括高压电容器的不平衡保护、差动保护、过流保护、失谐保护、电阻器与电抗器的反时限保护等。</w:t>
      </w:r>
    </w:p>
    <w:p w14:paraId="281B54DE">
      <w:pPr>
        <w:ind w:firstLine="420"/>
        <w:rPr>
          <w:rFonts w:hint="default" w:ascii="Times New Roman" w:hAnsi="Times New Roman" w:eastAsia="宋体"/>
          <w:sz w:val="21"/>
          <w:szCs w:val="21"/>
          <w:lang w:val="en-US" w:eastAsia="zh-CN"/>
        </w:rPr>
      </w:pPr>
      <w:r>
        <w:rPr>
          <w:rFonts w:hint="default" w:ascii="Times New Roman" w:hAnsi="Times New Roman" w:eastAsia="宋体"/>
          <w:sz w:val="21"/>
          <w:szCs w:val="21"/>
          <w:lang w:val="en-US" w:eastAsia="zh-CN"/>
        </w:rPr>
        <w:t>2 根据直流滤波器的稳态和暂态定值要求以及各设备的耐受能力，确定保护定值要求。</w:t>
      </w:r>
    </w:p>
    <w:p w14:paraId="2F132CC0">
      <w:pPr>
        <w:rPr>
          <w:rFonts w:hint="default"/>
          <w:color w:val="000000"/>
          <w:sz w:val="21"/>
          <w:szCs w:val="21"/>
          <w:lang w:val="en-US" w:eastAsia="zh-CN"/>
        </w:rPr>
      </w:pPr>
      <w:r>
        <w:rPr>
          <w:rFonts w:hint="eastAsia"/>
          <w:color w:val="000000"/>
          <w:sz w:val="21"/>
          <w:szCs w:val="21"/>
          <w:lang w:val="en-US" w:eastAsia="zh-CN"/>
        </w:rPr>
        <w:t>4.10</w:t>
      </w:r>
      <w:r>
        <w:rPr>
          <w:rFonts w:hint="default"/>
          <w:color w:val="000000"/>
          <w:sz w:val="21"/>
          <w:szCs w:val="21"/>
          <w:lang w:val="en-US" w:eastAsia="zh-CN"/>
        </w:rPr>
        <w:t>.4.3 研究结论。应明确直流滤波器保护配置以及保护定值要求。</w:t>
      </w:r>
    </w:p>
    <w:p w14:paraId="7D61DC76">
      <w:pPr>
        <w:outlineLvl w:val="2"/>
        <w:rPr>
          <w:rFonts w:hint="default" w:ascii="Times New Roman" w:hAnsi="Times New Roman" w:eastAsia="宋体"/>
          <w:color w:val="000000"/>
          <w:sz w:val="21"/>
          <w:szCs w:val="21"/>
          <w:lang w:val="en-US" w:eastAsia="zh-CN"/>
        </w:rPr>
      </w:pPr>
      <w:bookmarkStart w:id="375" w:name="_Toc14249"/>
      <w:bookmarkStart w:id="376" w:name="_Toc6635"/>
      <w:bookmarkStart w:id="377" w:name="_Toc28106"/>
      <w:r>
        <w:rPr>
          <w:rFonts w:hint="eastAsia"/>
          <w:color w:val="000000"/>
          <w:sz w:val="21"/>
          <w:szCs w:val="21"/>
          <w:lang w:val="en-US" w:eastAsia="zh-CN"/>
        </w:rPr>
        <w:t>4.10</w:t>
      </w:r>
      <w:r>
        <w:rPr>
          <w:rFonts w:hint="default" w:ascii="Times New Roman" w:hAnsi="Times New Roman" w:eastAsia="宋体"/>
          <w:color w:val="000000"/>
          <w:sz w:val="21"/>
          <w:szCs w:val="21"/>
          <w:lang w:val="en-US" w:eastAsia="zh-CN"/>
        </w:rPr>
        <w:t>.5 交流滤波器/阻抗适配器保护定值研究</w:t>
      </w:r>
      <w:bookmarkEnd w:id="375"/>
    </w:p>
    <w:bookmarkEnd w:id="376"/>
    <w:bookmarkEnd w:id="377"/>
    <w:p w14:paraId="46492AB5">
      <w:pPr>
        <w:rPr>
          <w:rFonts w:hint="default"/>
          <w:color w:val="000000"/>
          <w:sz w:val="21"/>
          <w:szCs w:val="21"/>
          <w:lang w:val="en-US" w:eastAsia="zh-CN"/>
        </w:rPr>
      </w:pPr>
      <w:r>
        <w:rPr>
          <w:rFonts w:hint="eastAsia"/>
          <w:color w:val="000000"/>
          <w:sz w:val="21"/>
          <w:szCs w:val="21"/>
          <w:lang w:val="en-US" w:eastAsia="zh-CN"/>
        </w:rPr>
        <w:t>4.10</w:t>
      </w:r>
      <w:r>
        <w:rPr>
          <w:rFonts w:hint="default"/>
          <w:color w:val="000000"/>
          <w:sz w:val="21"/>
          <w:szCs w:val="21"/>
          <w:lang w:val="en-US" w:eastAsia="zh-CN"/>
        </w:rPr>
        <w:t>.5.1 研究目的。</w:t>
      </w:r>
      <w:r>
        <w:rPr>
          <w:rFonts w:hint="eastAsia"/>
          <w:sz w:val="21"/>
          <w:szCs w:val="21"/>
          <w:lang w:val="en-US" w:eastAsia="zh-CN"/>
        </w:rPr>
        <w:t>应</w:t>
      </w:r>
      <w:r>
        <w:rPr>
          <w:rFonts w:hint="default"/>
          <w:color w:val="000000"/>
          <w:sz w:val="21"/>
          <w:szCs w:val="21"/>
          <w:lang w:val="en-US" w:eastAsia="zh-CN"/>
        </w:rPr>
        <w:t>根据交流滤波器/阻抗适配器的稳态和暂态定值要求以及各设备的耐受能力，推荐交流滤波器/阻抗适配器保护配置及保护定值要求。</w:t>
      </w:r>
    </w:p>
    <w:p w14:paraId="27DCB3DD">
      <w:pPr>
        <w:rPr>
          <w:rFonts w:hint="default"/>
          <w:color w:val="000000"/>
          <w:sz w:val="21"/>
          <w:szCs w:val="21"/>
          <w:lang w:val="en-US" w:eastAsia="zh-CN"/>
        </w:rPr>
      </w:pPr>
      <w:r>
        <w:rPr>
          <w:rFonts w:hint="eastAsia"/>
          <w:color w:val="000000"/>
          <w:sz w:val="21"/>
          <w:szCs w:val="21"/>
          <w:lang w:val="en-US" w:eastAsia="zh-CN"/>
        </w:rPr>
        <w:t>4.10</w:t>
      </w:r>
      <w:r>
        <w:rPr>
          <w:rFonts w:hint="default"/>
          <w:color w:val="000000"/>
          <w:sz w:val="21"/>
          <w:szCs w:val="21"/>
          <w:lang w:val="en-US" w:eastAsia="zh-CN"/>
        </w:rPr>
        <w:t>.5.2 研究要点</w:t>
      </w:r>
    </w:p>
    <w:p w14:paraId="4D096A42">
      <w:pPr>
        <w:ind w:firstLine="420"/>
        <w:rPr>
          <w:rFonts w:hint="default" w:ascii="Times New Roman" w:hAnsi="Times New Roman" w:eastAsia="宋体"/>
          <w:sz w:val="21"/>
          <w:szCs w:val="21"/>
          <w:lang w:val="en-US" w:eastAsia="zh-CN"/>
        </w:rPr>
      </w:pPr>
      <w:r>
        <w:rPr>
          <w:rFonts w:hint="default" w:ascii="Times New Roman" w:hAnsi="Times New Roman" w:eastAsia="宋体"/>
          <w:sz w:val="21"/>
          <w:szCs w:val="21"/>
          <w:lang w:val="en-US" w:eastAsia="zh-CN"/>
        </w:rPr>
        <w:t>1 根据交流滤波器/阻抗适配器的实际配置，确定其保护的基本类型，一般包括高压电容器的不平衡保护、差动保护、过流保护、失谐保护、电阻器与电抗器的反时限保护等。</w:t>
      </w:r>
    </w:p>
    <w:p w14:paraId="38FFB986">
      <w:pPr>
        <w:ind w:firstLine="420"/>
        <w:rPr>
          <w:rFonts w:hint="default" w:ascii="Times New Roman" w:hAnsi="Times New Roman" w:eastAsia="宋体"/>
          <w:sz w:val="21"/>
          <w:szCs w:val="21"/>
          <w:lang w:val="en-US" w:eastAsia="zh-CN"/>
        </w:rPr>
      </w:pPr>
      <w:r>
        <w:rPr>
          <w:rFonts w:hint="default" w:ascii="Times New Roman" w:hAnsi="Times New Roman" w:eastAsia="宋体"/>
          <w:sz w:val="21"/>
          <w:szCs w:val="21"/>
          <w:lang w:val="en-US" w:eastAsia="zh-CN"/>
        </w:rPr>
        <w:t>2 根据交流滤波器/阻抗适配器的稳态和暂态定值要求以及各设备的耐受能力，确定保护定值要求。</w:t>
      </w:r>
    </w:p>
    <w:p w14:paraId="3791A681">
      <w:pPr>
        <w:rPr>
          <w:rFonts w:hint="default"/>
          <w:color w:val="000000"/>
          <w:sz w:val="21"/>
          <w:szCs w:val="21"/>
          <w:lang w:val="en-US" w:eastAsia="zh-CN"/>
        </w:rPr>
      </w:pPr>
      <w:r>
        <w:rPr>
          <w:rFonts w:hint="eastAsia"/>
          <w:color w:val="000000"/>
          <w:sz w:val="21"/>
          <w:szCs w:val="21"/>
          <w:lang w:val="en-US" w:eastAsia="zh-CN"/>
        </w:rPr>
        <w:t>4.10</w:t>
      </w:r>
      <w:r>
        <w:rPr>
          <w:rFonts w:hint="default"/>
          <w:color w:val="000000"/>
          <w:sz w:val="21"/>
          <w:szCs w:val="21"/>
          <w:lang w:val="en-US" w:eastAsia="zh-CN"/>
        </w:rPr>
        <w:t>.5.3 研究结论。应明确交流滤波器/阻抗适配器保护配置以及保护定值要求。</w:t>
      </w:r>
    </w:p>
    <w:bookmarkEnd w:id="292"/>
    <w:bookmarkEnd w:id="293"/>
    <w:p w14:paraId="59D2B0EE">
      <w:pPr>
        <w:pStyle w:val="3"/>
        <w:rPr>
          <w:rFonts w:hint="default"/>
          <w:highlight w:val="none"/>
          <w:lang w:val="en-US" w:eastAsia="zh-CN"/>
        </w:rPr>
      </w:pPr>
      <w:r>
        <w:rPr>
          <w:rFonts w:hint="eastAsia"/>
          <w:highlight w:val="none"/>
          <w:lang w:val="en-US" w:eastAsia="zh-CN"/>
        </w:rPr>
        <w:t>4.11 交流系统接入相关研究</w:t>
      </w:r>
    </w:p>
    <w:p w14:paraId="62A3FB3D">
      <w:pPr>
        <w:outlineLvl w:val="2"/>
        <w:rPr>
          <w:rFonts w:hint="default" w:ascii="Times New Roman" w:hAnsi="Times New Roman" w:eastAsia="宋体" w:cstheme="minorBidi"/>
          <w:color w:val="000000"/>
          <w:sz w:val="21"/>
          <w:szCs w:val="21"/>
          <w:lang w:val="en-US" w:eastAsia="zh-CN"/>
        </w:rPr>
      </w:pPr>
      <w:r>
        <w:rPr>
          <w:rFonts w:hint="eastAsia" w:cstheme="minorBidi"/>
          <w:color w:val="000000"/>
          <w:sz w:val="21"/>
          <w:szCs w:val="21"/>
          <w:lang w:val="en-US" w:eastAsia="zh-CN"/>
        </w:rPr>
        <w:t>4.11</w:t>
      </w:r>
      <w:r>
        <w:rPr>
          <w:rFonts w:hint="default" w:ascii="Times New Roman" w:hAnsi="Times New Roman" w:eastAsia="宋体" w:cstheme="minorBidi"/>
          <w:color w:val="000000"/>
          <w:sz w:val="21"/>
          <w:szCs w:val="21"/>
          <w:lang w:val="en-US" w:eastAsia="zh-CN"/>
        </w:rPr>
        <w:t>.1</w:t>
      </w:r>
      <w:r>
        <w:rPr>
          <w:rFonts w:hint="eastAsia" w:ascii="Times New Roman" w:hAnsi="Times New Roman" w:eastAsia="宋体" w:cstheme="minorBidi"/>
          <w:color w:val="000000"/>
          <w:sz w:val="21"/>
          <w:szCs w:val="21"/>
          <w:lang w:val="en-US" w:eastAsia="zh-CN"/>
        </w:rPr>
        <w:t xml:space="preserve"> </w:t>
      </w:r>
      <w:r>
        <w:rPr>
          <w:rFonts w:hint="default" w:ascii="Times New Roman" w:hAnsi="Times New Roman" w:eastAsia="宋体" w:cstheme="minorBidi"/>
          <w:color w:val="000000"/>
          <w:sz w:val="21"/>
          <w:szCs w:val="21"/>
          <w:lang w:val="en-US" w:eastAsia="zh-CN"/>
        </w:rPr>
        <w:t>无功补偿与控制研究</w:t>
      </w:r>
    </w:p>
    <w:p w14:paraId="0AF2731A">
      <w:pPr>
        <w:rPr>
          <w:rFonts w:hint="default"/>
          <w:sz w:val="21"/>
          <w:szCs w:val="21"/>
          <w:lang w:val="en-US" w:eastAsia="zh-CN"/>
        </w:rPr>
      </w:pPr>
      <w:r>
        <w:rPr>
          <w:rFonts w:hint="eastAsia"/>
          <w:sz w:val="21"/>
          <w:szCs w:val="21"/>
          <w:lang w:val="en-US" w:eastAsia="zh-CN"/>
        </w:rPr>
        <w:t>4.11</w:t>
      </w:r>
      <w:r>
        <w:rPr>
          <w:rFonts w:hint="default"/>
          <w:sz w:val="21"/>
          <w:szCs w:val="21"/>
          <w:lang w:val="en-US" w:eastAsia="zh-CN"/>
        </w:rPr>
        <w:t>.1.1 研究目的。应分析不同运行方式下对直流输电系统的无功补偿的要求以及对无功控制的要求。</w:t>
      </w:r>
    </w:p>
    <w:p w14:paraId="7109BF89">
      <w:pPr>
        <w:rPr>
          <w:rFonts w:hint="default"/>
          <w:sz w:val="21"/>
          <w:szCs w:val="21"/>
          <w:lang w:val="en-US" w:eastAsia="zh-CN"/>
        </w:rPr>
      </w:pPr>
      <w:r>
        <w:rPr>
          <w:rFonts w:hint="eastAsia"/>
          <w:sz w:val="21"/>
          <w:szCs w:val="21"/>
          <w:lang w:val="en-US" w:eastAsia="zh-CN"/>
        </w:rPr>
        <w:t>4.11</w:t>
      </w:r>
      <w:r>
        <w:rPr>
          <w:rFonts w:hint="default"/>
          <w:sz w:val="21"/>
          <w:szCs w:val="21"/>
          <w:lang w:val="en-US" w:eastAsia="zh-CN"/>
        </w:rPr>
        <w:t>.1.2 研究要点</w:t>
      </w:r>
    </w:p>
    <w:p w14:paraId="4FD01FCB">
      <w:pPr>
        <w:ind w:firstLine="420"/>
        <w:rPr>
          <w:rFonts w:hint="default" w:ascii="Times New Roman" w:hAnsi="Times New Roman" w:eastAsia="宋体"/>
          <w:sz w:val="21"/>
          <w:szCs w:val="21"/>
          <w:lang w:val="en-US" w:eastAsia="zh-CN"/>
        </w:rPr>
      </w:pPr>
      <w:r>
        <w:rPr>
          <w:rFonts w:hint="default" w:ascii="Times New Roman" w:hAnsi="Times New Roman" w:eastAsia="宋体"/>
          <w:sz w:val="21"/>
          <w:szCs w:val="21"/>
          <w:lang w:val="en-US" w:eastAsia="zh-CN"/>
        </w:rPr>
        <w:t>1 研究基于典型交流运行方式的机电暂态数据，至少包括投产年、规划年，至少包括</w:t>
      </w:r>
      <w:r>
        <w:rPr>
          <w:rFonts w:hint="eastAsia"/>
          <w:sz w:val="21"/>
          <w:szCs w:val="21"/>
          <w:lang w:val="en-US" w:eastAsia="zh-CN"/>
        </w:rPr>
        <w:t>大方式和小方式等典型运行方式</w:t>
      </w:r>
      <w:r>
        <w:rPr>
          <w:rFonts w:hint="default" w:ascii="Times New Roman" w:hAnsi="Times New Roman" w:eastAsia="宋体"/>
          <w:sz w:val="21"/>
          <w:szCs w:val="21"/>
          <w:lang w:val="en-US" w:eastAsia="zh-CN"/>
        </w:rPr>
        <w:t>。</w:t>
      </w:r>
    </w:p>
    <w:p w14:paraId="2635EF23">
      <w:pPr>
        <w:ind w:firstLine="420"/>
        <w:rPr>
          <w:rFonts w:hint="default" w:ascii="Times New Roman" w:hAnsi="Times New Roman" w:eastAsia="宋体"/>
          <w:sz w:val="21"/>
          <w:szCs w:val="21"/>
          <w:lang w:val="en-US" w:eastAsia="zh-CN"/>
        </w:rPr>
      </w:pPr>
      <w:r>
        <w:rPr>
          <w:rFonts w:hint="default" w:ascii="Times New Roman" w:hAnsi="Times New Roman" w:eastAsia="宋体"/>
          <w:sz w:val="21"/>
          <w:szCs w:val="21"/>
          <w:lang w:val="en-US" w:eastAsia="zh-CN"/>
        </w:rPr>
        <w:t>2 针对常规直流输电系统，重点确定换流站的无功补偿容量以及无功交换范围。</w:t>
      </w:r>
    </w:p>
    <w:p w14:paraId="0EBA04D1">
      <w:pPr>
        <w:ind w:firstLine="420"/>
        <w:rPr>
          <w:rFonts w:hint="default" w:ascii="Times New Roman" w:hAnsi="Times New Roman" w:eastAsia="宋体"/>
          <w:sz w:val="21"/>
          <w:szCs w:val="21"/>
          <w:lang w:val="en-US" w:eastAsia="zh-CN"/>
        </w:rPr>
      </w:pPr>
      <w:r>
        <w:rPr>
          <w:rFonts w:hint="default" w:ascii="Times New Roman" w:hAnsi="Times New Roman" w:eastAsia="宋体"/>
          <w:sz w:val="21"/>
          <w:szCs w:val="21"/>
          <w:lang w:val="en-US" w:eastAsia="zh-CN"/>
        </w:rPr>
        <w:t>3 针对柔性直流输电系统，重点确定换流站的无功范围，确定换流站暂态无功支撑的要求。</w:t>
      </w:r>
    </w:p>
    <w:p w14:paraId="049D9D32">
      <w:pPr>
        <w:rPr>
          <w:rFonts w:hint="default"/>
          <w:color w:val="000000"/>
          <w:sz w:val="21"/>
          <w:szCs w:val="21"/>
          <w:lang w:val="en-US" w:eastAsia="zh-CN"/>
        </w:rPr>
      </w:pPr>
      <w:r>
        <w:rPr>
          <w:rFonts w:hint="eastAsia"/>
          <w:color w:val="000000"/>
          <w:sz w:val="21"/>
          <w:szCs w:val="21"/>
          <w:lang w:val="en-US" w:eastAsia="zh-CN"/>
        </w:rPr>
        <w:t>4.11</w:t>
      </w:r>
      <w:r>
        <w:rPr>
          <w:rFonts w:hint="default"/>
          <w:color w:val="000000"/>
          <w:sz w:val="21"/>
          <w:szCs w:val="21"/>
          <w:lang w:val="en-US" w:eastAsia="zh-CN"/>
        </w:rPr>
        <w:t>.1.3 研究结论。应明确直流输电系统无功补偿配置要求，明确常规直流稳态无功控制要求与柔性直流暂态无功控制要求。</w:t>
      </w:r>
    </w:p>
    <w:p w14:paraId="4E101DC2">
      <w:pPr>
        <w:outlineLvl w:val="2"/>
        <w:rPr>
          <w:rFonts w:hint="default" w:ascii="Times New Roman" w:hAnsi="Times New Roman" w:eastAsia="宋体" w:cstheme="minorBidi"/>
          <w:color w:val="000000"/>
          <w:sz w:val="21"/>
          <w:szCs w:val="21"/>
          <w:lang w:val="en-US" w:eastAsia="zh-CN"/>
        </w:rPr>
      </w:pPr>
      <w:r>
        <w:rPr>
          <w:rFonts w:hint="eastAsia" w:cstheme="minorBidi"/>
          <w:color w:val="000000"/>
          <w:sz w:val="21"/>
          <w:szCs w:val="21"/>
          <w:lang w:val="en-US" w:eastAsia="zh-CN"/>
        </w:rPr>
        <w:t>4.11</w:t>
      </w:r>
      <w:r>
        <w:rPr>
          <w:rFonts w:hint="default" w:ascii="Times New Roman" w:hAnsi="Times New Roman" w:eastAsia="宋体" w:cstheme="minorBidi"/>
          <w:color w:val="000000"/>
          <w:sz w:val="21"/>
          <w:szCs w:val="21"/>
          <w:lang w:val="en-US" w:eastAsia="zh-CN"/>
        </w:rPr>
        <w:t>.2</w:t>
      </w:r>
      <w:r>
        <w:rPr>
          <w:rFonts w:hint="eastAsia" w:ascii="Times New Roman" w:hAnsi="Times New Roman" w:eastAsia="宋体" w:cstheme="minorBidi"/>
          <w:color w:val="000000"/>
          <w:sz w:val="21"/>
          <w:szCs w:val="21"/>
          <w:lang w:val="en-US" w:eastAsia="zh-CN"/>
        </w:rPr>
        <w:t xml:space="preserve"> </w:t>
      </w:r>
      <w:r>
        <w:rPr>
          <w:rFonts w:hint="default" w:ascii="Times New Roman" w:hAnsi="Times New Roman" w:eastAsia="宋体" w:cstheme="minorBidi"/>
          <w:color w:val="000000"/>
          <w:sz w:val="21"/>
          <w:szCs w:val="21"/>
          <w:lang w:val="en-US" w:eastAsia="zh-CN"/>
        </w:rPr>
        <w:t>潮流与稳定研究</w:t>
      </w:r>
    </w:p>
    <w:p w14:paraId="3ECD53B3">
      <w:pPr>
        <w:rPr>
          <w:rFonts w:hint="default"/>
          <w:color w:val="000000"/>
          <w:sz w:val="21"/>
          <w:szCs w:val="21"/>
          <w:lang w:val="en-US" w:eastAsia="zh-CN"/>
        </w:rPr>
      </w:pPr>
      <w:r>
        <w:rPr>
          <w:rFonts w:hint="eastAsia"/>
          <w:color w:val="000000"/>
          <w:sz w:val="21"/>
          <w:szCs w:val="21"/>
          <w:lang w:val="en-US" w:eastAsia="zh-CN"/>
        </w:rPr>
        <w:t>4.11</w:t>
      </w:r>
      <w:r>
        <w:rPr>
          <w:rFonts w:hint="default"/>
          <w:color w:val="000000"/>
          <w:sz w:val="21"/>
          <w:szCs w:val="21"/>
          <w:lang w:val="en-US" w:eastAsia="zh-CN"/>
        </w:rPr>
        <w:t>.2.1 研究目的。</w:t>
      </w:r>
      <w:r>
        <w:rPr>
          <w:rFonts w:hint="default" w:cs="Times New Roman"/>
          <w:color w:val="000000"/>
          <w:sz w:val="21"/>
          <w:szCs w:val="21"/>
          <w:lang w:val="en-US" w:eastAsia="zh-CN"/>
        </w:rPr>
        <w:t>应分析不同水平年各种典型运行方式下的基础数据，对交流网络适应潮流变化及直流系统运行方式的能力作出分析评价，针对直流工程投产后的安全稳定性能进行分析评价。</w:t>
      </w:r>
    </w:p>
    <w:p w14:paraId="7C26B469">
      <w:pPr>
        <w:rPr>
          <w:rFonts w:hint="default"/>
          <w:color w:val="000000"/>
          <w:sz w:val="21"/>
          <w:szCs w:val="21"/>
          <w:lang w:val="en-US" w:eastAsia="zh-CN"/>
        </w:rPr>
      </w:pPr>
      <w:r>
        <w:rPr>
          <w:rFonts w:hint="eastAsia"/>
          <w:color w:val="000000"/>
          <w:sz w:val="21"/>
          <w:szCs w:val="21"/>
          <w:lang w:val="en-US" w:eastAsia="zh-CN"/>
        </w:rPr>
        <w:t>4.11</w:t>
      </w:r>
      <w:r>
        <w:rPr>
          <w:rFonts w:hint="default"/>
          <w:color w:val="000000"/>
          <w:sz w:val="21"/>
          <w:szCs w:val="21"/>
          <w:lang w:val="en-US" w:eastAsia="zh-CN"/>
        </w:rPr>
        <w:t>.2.2 研究要点</w:t>
      </w:r>
    </w:p>
    <w:p w14:paraId="254A576E">
      <w:pPr>
        <w:ind w:firstLine="420"/>
        <w:rPr>
          <w:rFonts w:hint="default" w:ascii="Times New Roman" w:hAnsi="Times New Roman" w:eastAsia="宋体"/>
          <w:sz w:val="21"/>
          <w:szCs w:val="21"/>
          <w:lang w:val="en-US" w:eastAsia="zh-CN"/>
        </w:rPr>
      </w:pPr>
      <w:r>
        <w:rPr>
          <w:rFonts w:hint="default" w:ascii="Times New Roman" w:hAnsi="Times New Roman" w:eastAsia="宋体"/>
          <w:sz w:val="21"/>
          <w:szCs w:val="21"/>
          <w:lang w:val="en-US" w:eastAsia="zh-CN"/>
        </w:rPr>
        <w:t>1 研究基于典型交流运行方式的机电暂态数据，至少包括投产年、规划年，至少包括</w:t>
      </w:r>
      <w:r>
        <w:rPr>
          <w:rFonts w:hint="eastAsia"/>
          <w:sz w:val="21"/>
          <w:szCs w:val="21"/>
          <w:lang w:val="en-US" w:eastAsia="zh-CN"/>
        </w:rPr>
        <w:t>大方式和小方式等典型运行方式</w:t>
      </w:r>
      <w:r>
        <w:rPr>
          <w:rFonts w:hint="default" w:ascii="Times New Roman" w:hAnsi="Times New Roman" w:eastAsia="宋体"/>
          <w:sz w:val="21"/>
          <w:szCs w:val="21"/>
          <w:lang w:val="en-US" w:eastAsia="zh-CN"/>
        </w:rPr>
        <w:t>。根据《电力系统安全稳定导则》明确系统稳定判据。</w:t>
      </w:r>
    </w:p>
    <w:p w14:paraId="2E5BD272">
      <w:pPr>
        <w:ind w:firstLine="420"/>
        <w:rPr>
          <w:rFonts w:hint="default" w:ascii="Times New Roman" w:hAnsi="Times New Roman" w:eastAsia="宋体"/>
          <w:sz w:val="21"/>
          <w:szCs w:val="21"/>
          <w:lang w:val="en-US" w:eastAsia="zh-CN"/>
        </w:rPr>
      </w:pPr>
      <w:r>
        <w:rPr>
          <w:rFonts w:hint="default" w:ascii="Times New Roman" w:hAnsi="Times New Roman" w:eastAsia="宋体"/>
          <w:sz w:val="21"/>
          <w:szCs w:val="21"/>
          <w:lang w:val="en-US" w:eastAsia="zh-CN"/>
        </w:rPr>
        <w:t>2 针对直流工程投产年与远景规划年开展潮流分析，至少应包括</w:t>
      </w:r>
      <w:r>
        <w:rPr>
          <w:rFonts w:hint="eastAsia"/>
          <w:sz w:val="21"/>
          <w:szCs w:val="21"/>
          <w:lang w:val="en-US" w:eastAsia="zh-CN"/>
        </w:rPr>
        <w:t>大方式和小方式等典型运行方式</w:t>
      </w:r>
      <w:r>
        <w:rPr>
          <w:rFonts w:hint="default" w:ascii="Times New Roman" w:hAnsi="Times New Roman" w:eastAsia="宋体"/>
          <w:sz w:val="21"/>
          <w:szCs w:val="21"/>
          <w:lang w:val="en-US" w:eastAsia="zh-CN"/>
        </w:rPr>
        <w:t>，明确潮流分布与各节点电压情况，提出断面预控要求。</w:t>
      </w:r>
    </w:p>
    <w:p w14:paraId="4E572ACB">
      <w:pPr>
        <w:ind w:firstLine="420"/>
        <w:rPr>
          <w:rFonts w:hint="default" w:ascii="Times New Roman" w:hAnsi="Times New Roman" w:eastAsia="宋体"/>
          <w:sz w:val="21"/>
          <w:szCs w:val="21"/>
          <w:lang w:val="en-US" w:eastAsia="zh-CN"/>
        </w:rPr>
      </w:pPr>
      <w:r>
        <w:rPr>
          <w:rFonts w:hint="default" w:ascii="Times New Roman" w:hAnsi="Times New Roman" w:eastAsia="宋体"/>
          <w:sz w:val="21"/>
          <w:szCs w:val="21"/>
          <w:lang w:val="en-US" w:eastAsia="zh-CN"/>
        </w:rPr>
        <w:t>3 针对直流工程投产年与远景规划年开展稳定特性分析，应至少包括直流闭锁和直流换流站近区典型校核故障分析，明确故障后的频率范围以及需要采取的预控措施。</w:t>
      </w:r>
    </w:p>
    <w:p w14:paraId="591DD3B6">
      <w:pPr>
        <w:rPr>
          <w:rFonts w:hint="default"/>
          <w:color w:val="000000"/>
          <w:sz w:val="21"/>
          <w:szCs w:val="21"/>
          <w:lang w:val="en-US" w:eastAsia="zh-CN"/>
        </w:rPr>
      </w:pPr>
      <w:r>
        <w:rPr>
          <w:rFonts w:hint="eastAsia"/>
          <w:color w:val="000000"/>
          <w:sz w:val="21"/>
          <w:szCs w:val="21"/>
          <w:lang w:val="en-US" w:eastAsia="zh-CN"/>
        </w:rPr>
        <w:t>4.11</w:t>
      </w:r>
      <w:r>
        <w:rPr>
          <w:rFonts w:hint="default"/>
          <w:color w:val="000000"/>
          <w:sz w:val="21"/>
          <w:szCs w:val="21"/>
          <w:lang w:val="en-US" w:eastAsia="zh-CN"/>
        </w:rPr>
        <w:t>.2.3 研究结论。应明确直流工程投产后的系统运行方式、系统安全稳定性能评价结论。</w:t>
      </w:r>
    </w:p>
    <w:p w14:paraId="162E5A4B">
      <w:pPr>
        <w:outlineLvl w:val="2"/>
        <w:rPr>
          <w:rFonts w:hint="default" w:ascii="Times New Roman" w:hAnsi="Times New Roman" w:eastAsia="宋体"/>
          <w:color w:val="000000"/>
          <w:sz w:val="21"/>
          <w:szCs w:val="21"/>
          <w:lang w:val="en-US" w:eastAsia="zh-CN"/>
        </w:rPr>
      </w:pPr>
      <w:r>
        <w:rPr>
          <w:rFonts w:hint="eastAsia"/>
          <w:color w:val="000000"/>
          <w:sz w:val="21"/>
          <w:szCs w:val="21"/>
          <w:lang w:val="en-US" w:eastAsia="zh-CN"/>
        </w:rPr>
        <w:t>4.11</w:t>
      </w:r>
      <w:r>
        <w:rPr>
          <w:rFonts w:hint="default" w:ascii="Times New Roman" w:hAnsi="Times New Roman" w:eastAsia="宋体"/>
          <w:color w:val="000000"/>
          <w:sz w:val="21"/>
          <w:szCs w:val="21"/>
          <w:lang w:val="en-US" w:eastAsia="zh-CN"/>
        </w:rPr>
        <w:t>.3 直流调制研究</w:t>
      </w:r>
    </w:p>
    <w:p w14:paraId="516B035E">
      <w:pPr>
        <w:rPr>
          <w:rFonts w:hint="default"/>
          <w:color w:val="000000"/>
          <w:sz w:val="21"/>
          <w:szCs w:val="21"/>
          <w:lang w:val="en-US" w:eastAsia="zh-CN"/>
        </w:rPr>
      </w:pPr>
      <w:r>
        <w:rPr>
          <w:rFonts w:hint="eastAsia"/>
          <w:color w:val="000000"/>
          <w:sz w:val="21"/>
          <w:szCs w:val="21"/>
          <w:lang w:val="en-US" w:eastAsia="zh-CN"/>
        </w:rPr>
        <w:t>4.11</w:t>
      </w:r>
      <w:r>
        <w:rPr>
          <w:rFonts w:hint="default"/>
          <w:color w:val="000000"/>
          <w:sz w:val="21"/>
          <w:szCs w:val="21"/>
          <w:lang w:val="en-US" w:eastAsia="zh-CN"/>
        </w:rPr>
        <w:t>.3.1 研究目的。应分析不同运行方式下直流功率提升/回降、直流频率限制控制（Frequency Limit Control， FLC），功能对交流系统稳定特性的影响，提出相关功能的控制保护配置要求。</w:t>
      </w:r>
    </w:p>
    <w:p w14:paraId="394366FD">
      <w:pPr>
        <w:rPr>
          <w:rFonts w:hint="default"/>
          <w:color w:val="000000"/>
          <w:sz w:val="21"/>
          <w:szCs w:val="21"/>
          <w:lang w:val="en-US" w:eastAsia="zh-CN"/>
        </w:rPr>
      </w:pPr>
      <w:r>
        <w:rPr>
          <w:rFonts w:hint="eastAsia"/>
          <w:color w:val="000000"/>
          <w:sz w:val="21"/>
          <w:szCs w:val="21"/>
          <w:lang w:val="en-US" w:eastAsia="zh-CN"/>
        </w:rPr>
        <w:t>4.11</w:t>
      </w:r>
      <w:r>
        <w:rPr>
          <w:rFonts w:hint="default"/>
          <w:color w:val="000000"/>
          <w:sz w:val="21"/>
          <w:szCs w:val="21"/>
          <w:lang w:val="en-US" w:eastAsia="zh-CN"/>
        </w:rPr>
        <w:t>.3.2 研究要点</w:t>
      </w:r>
    </w:p>
    <w:p w14:paraId="540D8213">
      <w:pPr>
        <w:ind w:firstLine="420"/>
        <w:rPr>
          <w:rFonts w:hint="default" w:ascii="Times New Roman" w:hAnsi="Times New Roman" w:eastAsia="宋体"/>
          <w:sz w:val="21"/>
          <w:szCs w:val="21"/>
          <w:lang w:val="en-US" w:eastAsia="zh-CN"/>
        </w:rPr>
      </w:pPr>
      <w:r>
        <w:rPr>
          <w:rFonts w:hint="default" w:ascii="Times New Roman" w:hAnsi="Times New Roman" w:eastAsia="宋体"/>
          <w:sz w:val="21"/>
          <w:szCs w:val="21"/>
          <w:lang w:val="en-US" w:eastAsia="zh-CN"/>
        </w:rPr>
        <w:t>1 研究基于典型交流运行方式的机电暂态数据，至少包括投产年、规划年，至少包括</w:t>
      </w:r>
      <w:r>
        <w:rPr>
          <w:rFonts w:hint="eastAsia"/>
          <w:sz w:val="21"/>
          <w:szCs w:val="21"/>
          <w:lang w:val="en-US" w:eastAsia="zh-CN"/>
        </w:rPr>
        <w:t>大方式和小方式等典型运行方式</w:t>
      </w:r>
      <w:r>
        <w:rPr>
          <w:rFonts w:hint="default" w:ascii="Times New Roman" w:hAnsi="Times New Roman" w:eastAsia="宋体"/>
          <w:sz w:val="21"/>
          <w:szCs w:val="21"/>
          <w:lang w:val="en-US" w:eastAsia="zh-CN"/>
        </w:rPr>
        <w:t>。</w:t>
      </w:r>
    </w:p>
    <w:p w14:paraId="0621DE0D">
      <w:pPr>
        <w:ind w:firstLine="420"/>
        <w:rPr>
          <w:rFonts w:hint="default" w:ascii="Times New Roman" w:hAnsi="Times New Roman" w:eastAsia="宋体"/>
          <w:sz w:val="21"/>
          <w:szCs w:val="21"/>
          <w:lang w:val="en-US" w:eastAsia="zh-CN"/>
        </w:rPr>
      </w:pPr>
      <w:r>
        <w:rPr>
          <w:rFonts w:hint="default" w:ascii="Times New Roman" w:hAnsi="Times New Roman" w:eastAsia="宋体"/>
          <w:sz w:val="21"/>
          <w:szCs w:val="21"/>
          <w:lang w:val="en-US" w:eastAsia="zh-CN"/>
        </w:rPr>
        <w:t>2 直流功率提升/回降应提出具体的配置要求，若直流存在孤岛运行方式，需要对孤岛条件进行校核。</w:t>
      </w:r>
    </w:p>
    <w:p w14:paraId="522C6B66">
      <w:pPr>
        <w:ind w:firstLine="420"/>
        <w:rPr>
          <w:rFonts w:hint="default" w:ascii="Times New Roman" w:hAnsi="Times New Roman" w:eastAsia="宋体"/>
          <w:sz w:val="21"/>
          <w:szCs w:val="21"/>
          <w:lang w:val="en-US" w:eastAsia="zh-CN"/>
        </w:rPr>
      </w:pPr>
      <w:r>
        <w:rPr>
          <w:rFonts w:hint="default" w:ascii="Times New Roman" w:hAnsi="Times New Roman" w:eastAsia="宋体"/>
          <w:sz w:val="21"/>
          <w:szCs w:val="21"/>
          <w:lang w:val="en-US" w:eastAsia="zh-CN"/>
        </w:rPr>
        <w:t>3 应提出FLC具体的配置要求，至少包括频率调节死区、频率调节最大功率限值、FLC控制参数等。</w:t>
      </w:r>
    </w:p>
    <w:p w14:paraId="318EACF0">
      <w:pPr>
        <w:rPr>
          <w:rFonts w:hint="default"/>
          <w:strike w:val="0"/>
          <w:dstrike w:val="0"/>
          <w:color w:val="000000"/>
          <w:sz w:val="21"/>
          <w:szCs w:val="21"/>
          <w:highlight w:val="none"/>
          <w:lang w:val="en-US" w:eastAsia="zh-CN"/>
        </w:rPr>
      </w:pPr>
      <w:r>
        <w:rPr>
          <w:rFonts w:hint="eastAsia"/>
          <w:color w:val="000000"/>
          <w:sz w:val="21"/>
          <w:szCs w:val="21"/>
          <w:lang w:val="en-US" w:eastAsia="zh-CN"/>
        </w:rPr>
        <w:t>4.11</w:t>
      </w:r>
      <w:r>
        <w:rPr>
          <w:rFonts w:hint="default"/>
          <w:color w:val="000000"/>
          <w:sz w:val="21"/>
          <w:szCs w:val="21"/>
          <w:lang w:val="en-US" w:eastAsia="zh-CN"/>
        </w:rPr>
        <w:t>.3.3 研究结论。应明确直流功</w:t>
      </w:r>
      <w:r>
        <w:rPr>
          <w:rFonts w:hint="default"/>
          <w:strike w:val="0"/>
          <w:dstrike w:val="0"/>
          <w:color w:val="000000"/>
          <w:sz w:val="21"/>
          <w:szCs w:val="21"/>
          <w:highlight w:val="none"/>
          <w:lang w:val="en-US" w:eastAsia="zh-CN"/>
        </w:rPr>
        <w:t>率提升/回降、FLC控制功能配置和参数要求。</w:t>
      </w:r>
    </w:p>
    <w:p w14:paraId="518171C2">
      <w:pPr>
        <w:outlineLvl w:val="2"/>
        <w:rPr>
          <w:rFonts w:hint="default" w:ascii="Times New Roman" w:hAnsi="Times New Roman" w:eastAsia="宋体"/>
          <w:strike w:val="0"/>
          <w:dstrike w:val="0"/>
          <w:color w:val="000000"/>
          <w:sz w:val="21"/>
          <w:szCs w:val="21"/>
          <w:highlight w:val="none"/>
          <w:lang w:val="en-US" w:eastAsia="zh-CN"/>
        </w:rPr>
      </w:pPr>
      <w:r>
        <w:rPr>
          <w:rFonts w:hint="eastAsia"/>
          <w:strike w:val="0"/>
          <w:dstrike w:val="0"/>
          <w:color w:val="000000"/>
          <w:sz w:val="21"/>
          <w:szCs w:val="21"/>
          <w:highlight w:val="none"/>
          <w:lang w:val="en-US" w:eastAsia="zh-CN"/>
        </w:rPr>
        <w:t>4.11</w:t>
      </w:r>
      <w:r>
        <w:rPr>
          <w:rFonts w:hint="default" w:ascii="Times New Roman" w:hAnsi="Times New Roman" w:eastAsia="宋体"/>
          <w:strike w:val="0"/>
          <w:dstrike w:val="0"/>
          <w:color w:val="000000"/>
          <w:sz w:val="21"/>
          <w:szCs w:val="21"/>
          <w:highlight w:val="none"/>
          <w:lang w:val="en-US" w:eastAsia="zh-CN"/>
        </w:rPr>
        <w:t>.4 直流再启动研究</w:t>
      </w:r>
      <w:r>
        <w:rPr>
          <w:rFonts w:hint="eastAsia"/>
          <w:strike w:val="0"/>
          <w:dstrike w:val="0"/>
          <w:color w:val="000000"/>
          <w:sz w:val="21"/>
          <w:szCs w:val="21"/>
          <w:highlight w:val="none"/>
          <w:lang w:val="en-US" w:eastAsia="zh-CN"/>
        </w:rPr>
        <w:t>（如需）</w:t>
      </w:r>
    </w:p>
    <w:p w14:paraId="2D0EA28C">
      <w:pPr>
        <w:rPr>
          <w:rFonts w:hint="default"/>
          <w:color w:val="000000"/>
          <w:sz w:val="21"/>
          <w:szCs w:val="21"/>
          <w:lang w:val="en-US" w:eastAsia="zh-CN"/>
        </w:rPr>
      </w:pPr>
      <w:r>
        <w:rPr>
          <w:rFonts w:hint="eastAsia"/>
          <w:color w:val="000000"/>
          <w:sz w:val="21"/>
          <w:szCs w:val="21"/>
          <w:lang w:val="en-US" w:eastAsia="zh-CN"/>
        </w:rPr>
        <w:t>4.11</w:t>
      </w:r>
      <w:r>
        <w:rPr>
          <w:rFonts w:hint="default"/>
          <w:color w:val="000000"/>
          <w:sz w:val="21"/>
          <w:szCs w:val="21"/>
          <w:lang w:val="en-US" w:eastAsia="zh-CN"/>
        </w:rPr>
        <w:t>.4.1 研究目的。应分析直流故障对交流系统的影响，提出可行的直流故障再启动的控制策略。</w:t>
      </w:r>
    </w:p>
    <w:p w14:paraId="1AE7352E">
      <w:pPr>
        <w:rPr>
          <w:rFonts w:hint="default"/>
          <w:color w:val="000000"/>
          <w:sz w:val="21"/>
          <w:szCs w:val="21"/>
          <w:lang w:val="en-US" w:eastAsia="zh-CN"/>
        </w:rPr>
      </w:pPr>
      <w:r>
        <w:rPr>
          <w:rFonts w:hint="eastAsia"/>
          <w:color w:val="000000"/>
          <w:sz w:val="21"/>
          <w:szCs w:val="21"/>
          <w:lang w:val="en-US" w:eastAsia="zh-CN"/>
        </w:rPr>
        <w:t>4.11</w:t>
      </w:r>
      <w:r>
        <w:rPr>
          <w:rFonts w:hint="default"/>
          <w:color w:val="000000"/>
          <w:sz w:val="21"/>
          <w:szCs w:val="21"/>
          <w:lang w:val="en-US" w:eastAsia="zh-CN"/>
        </w:rPr>
        <w:t>.4.2 研究要点</w:t>
      </w:r>
    </w:p>
    <w:p w14:paraId="44753BC1">
      <w:pPr>
        <w:ind w:firstLine="420"/>
        <w:rPr>
          <w:rFonts w:hint="default" w:ascii="Times New Roman" w:hAnsi="Times New Roman" w:eastAsia="宋体"/>
          <w:sz w:val="21"/>
          <w:szCs w:val="21"/>
          <w:lang w:val="en-US" w:eastAsia="zh-CN"/>
        </w:rPr>
      </w:pPr>
      <w:r>
        <w:rPr>
          <w:rFonts w:hint="default" w:ascii="Times New Roman" w:hAnsi="Times New Roman" w:eastAsia="宋体"/>
          <w:sz w:val="21"/>
          <w:szCs w:val="21"/>
          <w:lang w:val="en-US" w:eastAsia="zh-CN"/>
        </w:rPr>
        <w:t>1 研究基于典型交流运行方式的机电暂态数据，至少包括投产年、规划年，至少包括夏大和冬小运行方式。</w:t>
      </w:r>
    </w:p>
    <w:p w14:paraId="5190621B">
      <w:pPr>
        <w:ind w:firstLine="420"/>
        <w:rPr>
          <w:rFonts w:hint="default" w:ascii="Times New Roman" w:hAnsi="Times New Roman" w:eastAsia="宋体"/>
          <w:sz w:val="21"/>
          <w:szCs w:val="21"/>
          <w:lang w:val="en-US" w:eastAsia="zh-CN"/>
        </w:rPr>
      </w:pPr>
      <w:r>
        <w:rPr>
          <w:rFonts w:hint="default" w:ascii="Times New Roman" w:hAnsi="Times New Roman" w:eastAsia="宋体"/>
          <w:sz w:val="21"/>
          <w:szCs w:val="21"/>
          <w:lang w:val="en-US" w:eastAsia="zh-CN"/>
        </w:rPr>
        <w:t>2 直流故障方式应至少包括单极闭锁、双极闭锁、双极相继闭锁。</w:t>
      </w:r>
    </w:p>
    <w:p w14:paraId="69732758">
      <w:pPr>
        <w:rPr>
          <w:rFonts w:hint="default"/>
          <w:color w:val="000000"/>
          <w:sz w:val="21"/>
          <w:szCs w:val="21"/>
          <w:lang w:val="en-US" w:eastAsia="zh-CN"/>
        </w:rPr>
      </w:pPr>
      <w:r>
        <w:rPr>
          <w:rFonts w:hint="eastAsia"/>
          <w:color w:val="000000"/>
          <w:sz w:val="21"/>
          <w:szCs w:val="21"/>
          <w:lang w:val="en-US" w:eastAsia="zh-CN"/>
        </w:rPr>
        <w:t>4.11</w:t>
      </w:r>
      <w:r>
        <w:rPr>
          <w:rFonts w:hint="default"/>
          <w:color w:val="000000"/>
          <w:sz w:val="21"/>
          <w:szCs w:val="21"/>
          <w:lang w:val="en-US" w:eastAsia="zh-CN"/>
        </w:rPr>
        <w:t>.4.3 研究结论。应提出可行的直流线路故障再启动控制策略。</w:t>
      </w:r>
    </w:p>
    <w:p w14:paraId="355C6A49">
      <w:pPr>
        <w:outlineLvl w:val="2"/>
        <w:rPr>
          <w:rFonts w:hint="default" w:ascii="Times New Roman" w:hAnsi="Times New Roman" w:eastAsia="宋体" w:cstheme="minorBidi"/>
          <w:color w:val="000000"/>
          <w:sz w:val="21"/>
          <w:szCs w:val="21"/>
          <w:lang w:val="en-US" w:eastAsia="zh-CN"/>
        </w:rPr>
      </w:pPr>
      <w:r>
        <w:rPr>
          <w:rFonts w:hint="eastAsia" w:cstheme="minorBidi"/>
          <w:color w:val="000000"/>
          <w:sz w:val="21"/>
          <w:szCs w:val="21"/>
          <w:lang w:val="en-US" w:eastAsia="zh-CN"/>
        </w:rPr>
        <w:t>4.11</w:t>
      </w:r>
      <w:r>
        <w:rPr>
          <w:rFonts w:hint="default" w:ascii="Times New Roman" w:hAnsi="Times New Roman" w:eastAsia="宋体" w:cstheme="minorBidi"/>
          <w:color w:val="000000"/>
          <w:sz w:val="21"/>
          <w:szCs w:val="21"/>
          <w:lang w:val="en-US" w:eastAsia="zh-CN"/>
        </w:rPr>
        <w:t>.5 交流系统等值研究</w:t>
      </w:r>
    </w:p>
    <w:p w14:paraId="2BCDDFAD">
      <w:pPr>
        <w:rPr>
          <w:rFonts w:hint="default"/>
          <w:color w:val="000000"/>
          <w:sz w:val="21"/>
          <w:szCs w:val="21"/>
          <w:lang w:val="en-US" w:eastAsia="zh-CN"/>
        </w:rPr>
      </w:pPr>
      <w:r>
        <w:rPr>
          <w:rFonts w:hint="eastAsia"/>
          <w:color w:val="000000"/>
          <w:sz w:val="21"/>
          <w:szCs w:val="21"/>
          <w:lang w:val="en-US" w:eastAsia="zh-CN"/>
        </w:rPr>
        <w:t>4.11</w:t>
      </w:r>
      <w:r>
        <w:rPr>
          <w:rFonts w:hint="default"/>
          <w:color w:val="000000"/>
          <w:sz w:val="21"/>
          <w:szCs w:val="21"/>
          <w:lang w:val="en-US" w:eastAsia="zh-CN"/>
        </w:rPr>
        <w:t>.5.1 研究目的。应分析直流工程投产年及典型规划年的系统运行特点，提出系统静态等值与动态等值模型，为其他研究提供输入。</w:t>
      </w:r>
    </w:p>
    <w:p w14:paraId="21047B08">
      <w:pPr>
        <w:rPr>
          <w:rFonts w:hint="default"/>
          <w:color w:val="000000"/>
          <w:sz w:val="21"/>
          <w:szCs w:val="21"/>
          <w:lang w:val="en-US" w:eastAsia="zh-CN"/>
        </w:rPr>
      </w:pPr>
      <w:r>
        <w:rPr>
          <w:rFonts w:hint="eastAsia"/>
          <w:color w:val="000000"/>
          <w:sz w:val="21"/>
          <w:szCs w:val="21"/>
          <w:lang w:val="en-US" w:eastAsia="zh-CN"/>
        </w:rPr>
        <w:t>4.11</w:t>
      </w:r>
      <w:r>
        <w:rPr>
          <w:rFonts w:hint="default"/>
          <w:color w:val="000000"/>
          <w:sz w:val="21"/>
          <w:szCs w:val="21"/>
          <w:lang w:val="en-US" w:eastAsia="zh-CN"/>
        </w:rPr>
        <w:t>.5.2 研究要点</w:t>
      </w:r>
    </w:p>
    <w:p w14:paraId="50C0B960">
      <w:pPr>
        <w:ind w:firstLine="420"/>
        <w:rPr>
          <w:rFonts w:hint="default" w:ascii="Times New Roman" w:hAnsi="Times New Roman" w:eastAsia="宋体"/>
          <w:sz w:val="21"/>
          <w:szCs w:val="21"/>
          <w:lang w:val="en-US" w:eastAsia="zh-CN"/>
        </w:rPr>
      </w:pPr>
      <w:r>
        <w:rPr>
          <w:rFonts w:hint="default" w:ascii="Times New Roman" w:hAnsi="Times New Roman" w:eastAsia="宋体"/>
          <w:sz w:val="21"/>
          <w:szCs w:val="21"/>
          <w:lang w:val="en-US" w:eastAsia="zh-CN"/>
        </w:rPr>
        <w:t>1 研究基于典型交流运行方式的机电暂态数据，至少包括投产年、规划年，至少包括</w:t>
      </w:r>
      <w:r>
        <w:rPr>
          <w:rFonts w:hint="eastAsia"/>
          <w:sz w:val="21"/>
          <w:szCs w:val="21"/>
          <w:lang w:val="en-US" w:eastAsia="zh-CN"/>
        </w:rPr>
        <w:t>大方式和小方式等典型运行方式</w:t>
      </w:r>
      <w:r>
        <w:rPr>
          <w:rFonts w:hint="default" w:ascii="Times New Roman" w:hAnsi="Times New Roman" w:eastAsia="宋体"/>
          <w:sz w:val="21"/>
          <w:szCs w:val="21"/>
          <w:lang w:val="en-US" w:eastAsia="zh-CN"/>
        </w:rPr>
        <w:t>。</w:t>
      </w:r>
    </w:p>
    <w:p w14:paraId="31917254">
      <w:pPr>
        <w:ind w:firstLine="420"/>
        <w:rPr>
          <w:rFonts w:hint="default" w:ascii="Times New Roman" w:hAnsi="Times New Roman" w:eastAsia="宋体"/>
          <w:sz w:val="21"/>
          <w:szCs w:val="21"/>
          <w:lang w:val="en-US" w:eastAsia="zh-CN"/>
        </w:rPr>
      </w:pPr>
      <w:r>
        <w:rPr>
          <w:rFonts w:hint="default" w:ascii="Times New Roman" w:hAnsi="Times New Roman" w:eastAsia="宋体"/>
          <w:sz w:val="21"/>
          <w:szCs w:val="21"/>
          <w:lang w:val="en-US" w:eastAsia="zh-CN"/>
        </w:rPr>
        <w:t>2 研究包括静态等值的研究和动态等值的研究。</w:t>
      </w:r>
    </w:p>
    <w:p w14:paraId="17E374C2">
      <w:pPr>
        <w:rPr>
          <w:rFonts w:hint="default" w:ascii="Times New Roman" w:hAnsi="Times New Roman" w:eastAsia="宋体"/>
          <w:color w:val="000000"/>
          <w:szCs w:val="21"/>
          <w:lang w:val="en-US" w:eastAsia="zh-CN"/>
        </w:rPr>
      </w:pPr>
      <w:r>
        <w:rPr>
          <w:rFonts w:hint="eastAsia"/>
          <w:color w:val="000000"/>
          <w:szCs w:val="21"/>
          <w:lang w:val="en-US" w:eastAsia="zh-CN"/>
        </w:rPr>
        <w:t>4.11</w:t>
      </w:r>
      <w:r>
        <w:rPr>
          <w:rFonts w:hint="default" w:ascii="Times New Roman" w:hAnsi="Times New Roman" w:eastAsia="宋体"/>
          <w:color w:val="000000"/>
          <w:szCs w:val="21"/>
          <w:lang w:val="en-US" w:eastAsia="zh-CN"/>
        </w:rPr>
        <w:t>.5.3 研究结论。应提出系统静态等值与动态等值数据。</w:t>
      </w:r>
    </w:p>
    <w:p w14:paraId="0922C935">
      <w:pPr>
        <w:rPr>
          <w:rFonts w:hint="default" w:hAnsi="Times New Roman" w:cs="Times New Roman"/>
          <w:color w:val="000000"/>
          <w:szCs w:val="21"/>
          <w:lang w:val="en-US" w:eastAsia="zh-CN"/>
        </w:rPr>
      </w:pPr>
    </w:p>
    <w:p w14:paraId="713CC8B5">
      <w:pPr>
        <w:pStyle w:val="2"/>
        <w:rPr>
          <w:rFonts w:hint="default"/>
          <w:lang w:val="en-US" w:eastAsia="zh-CN"/>
        </w:rPr>
      </w:pPr>
      <w:bookmarkStart w:id="378" w:name="_Toc9031"/>
      <w:bookmarkStart w:id="379" w:name="_Toc30516"/>
      <w:bookmarkStart w:id="380" w:name="_Toc23402"/>
      <w:bookmarkStart w:id="381" w:name="_Toc18077"/>
      <w:bookmarkStart w:id="382" w:name="_Toc6353"/>
      <w:bookmarkStart w:id="383" w:name="_Toc19421"/>
      <w:bookmarkStart w:id="384" w:name="_Toc30706"/>
      <w:bookmarkStart w:id="385" w:name="_Toc30532"/>
      <w:bookmarkStart w:id="386" w:name="_Toc25961"/>
      <w:bookmarkStart w:id="387" w:name="_Toc30623"/>
      <w:bookmarkStart w:id="388" w:name="_Toc26632"/>
      <w:bookmarkStart w:id="389" w:name="_Toc14415"/>
      <w:bookmarkStart w:id="390" w:name="_Toc19089"/>
      <w:bookmarkStart w:id="391" w:name="_Toc22655"/>
      <w:bookmarkStart w:id="392" w:name="_Toc27957"/>
      <w:bookmarkStart w:id="393" w:name="_Toc27431"/>
      <w:r>
        <w:rPr>
          <w:rFonts w:hint="default"/>
          <w:lang w:val="en-US" w:eastAsia="zh-CN"/>
        </w:rPr>
        <w:t xml:space="preserve">5 </w:t>
      </w:r>
      <w:r>
        <w:rPr>
          <w:rFonts w:hint="eastAsia"/>
          <w:lang w:val="en-US" w:eastAsia="zh-CN"/>
        </w:rPr>
        <w:t>直流</w:t>
      </w:r>
      <w:r>
        <w:rPr>
          <w:rFonts w:hint="default"/>
          <w:lang w:val="en-US" w:eastAsia="zh-CN"/>
        </w:rPr>
        <w:t>成套设备规范</w:t>
      </w:r>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p>
    <w:p w14:paraId="79E5F4FC">
      <w:pPr>
        <w:pStyle w:val="3"/>
        <w:rPr>
          <w:rFonts w:hint="default"/>
          <w:lang w:val="en-US" w:eastAsia="zh-CN"/>
        </w:rPr>
      </w:pPr>
      <w:bookmarkStart w:id="394" w:name="_Toc4767"/>
      <w:bookmarkStart w:id="395" w:name="_Toc29411"/>
      <w:bookmarkStart w:id="396" w:name="_Toc9152"/>
      <w:bookmarkStart w:id="397" w:name="_Toc25198"/>
      <w:bookmarkStart w:id="398" w:name="_Toc29673"/>
      <w:bookmarkStart w:id="399" w:name="_Toc14083"/>
      <w:bookmarkStart w:id="400" w:name="_Toc26077"/>
      <w:bookmarkStart w:id="401" w:name="_Toc17131"/>
      <w:bookmarkStart w:id="402" w:name="_Toc15340"/>
      <w:bookmarkStart w:id="403" w:name="_Toc19877"/>
      <w:bookmarkStart w:id="404" w:name="_Toc27561"/>
      <w:bookmarkStart w:id="405" w:name="_Toc25199"/>
      <w:bookmarkStart w:id="406" w:name="_Toc7679"/>
      <w:bookmarkStart w:id="407" w:name="_Toc17963"/>
      <w:bookmarkStart w:id="408" w:name="_Toc1855"/>
      <w:bookmarkStart w:id="409" w:name="_Toc17067"/>
      <w:r>
        <w:rPr>
          <w:rFonts w:hint="default"/>
          <w:lang w:val="en-US" w:eastAsia="zh-CN"/>
        </w:rPr>
        <w:t xml:space="preserve">5.1 </w:t>
      </w:r>
      <w:bookmarkEnd w:id="394"/>
      <w:bookmarkEnd w:id="395"/>
      <w:bookmarkEnd w:id="396"/>
      <w:bookmarkEnd w:id="397"/>
      <w:bookmarkEnd w:id="398"/>
      <w:r>
        <w:rPr>
          <w:rFonts w:hint="default"/>
          <w:lang w:val="en-US" w:eastAsia="zh-CN"/>
        </w:rPr>
        <w:t>成套设备范围</w:t>
      </w:r>
      <w:bookmarkEnd w:id="399"/>
      <w:bookmarkEnd w:id="400"/>
      <w:bookmarkEnd w:id="401"/>
      <w:bookmarkEnd w:id="402"/>
      <w:bookmarkEnd w:id="403"/>
      <w:bookmarkEnd w:id="404"/>
      <w:bookmarkEnd w:id="405"/>
      <w:bookmarkEnd w:id="406"/>
      <w:bookmarkEnd w:id="407"/>
      <w:bookmarkEnd w:id="408"/>
      <w:bookmarkEnd w:id="409"/>
    </w:p>
    <w:p w14:paraId="1E80C9FC">
      <w:pPr>
        <w:outlineLvl w:val="2"/>
        <w:rPr>
          <w:rFonts w:hint="default" w:ascii="Times New Roman" w:hAnsi="Times New Roman" w:eastAsia="宋体"/>
          <w:color w:val="000000"/>
          <w:sz w:val="21"/>
          <w:szCs w:val="21"/>
          <w:lang w:val="en-US" w:eastAsia="zh-CN"/>
        </w:rPr>
      </w:pPr>
      <w:bookmarkStart w:id="410" w:name="_Toc19547"/>
      <w:r>
        <w:rPr>
          <w:rFonts w:hint="default" w:ascii="Times New Roman" w:hAnsi="Times New Roman" w:eastAsia="宋体"/>
          <w:color w:val="000000"/>
          <w:sz w:val="21"/>
          <w:szCs w:val="21"/>
          <w:lang w:val="en-US" w:eastAsia="zh-CN"/>
        </w:rPr>
        <w:t>5.1.1 常规直流成套设备范围</w:t>
      </w:r>
      <w:bookmarkEnd w:id="410"/>
    </w:p>
    <w:p w14:paraId="7F720E67">
      <w:pPr>
        <w:ind w:firstLine="420"/>
        <w:rPr>
          <w:rFonts w:hint="default" w:ascii="Times New Roman" w:hAnsi="Times New Roman" w:eastAsia="宋体"/>
          <w:sz w:val="21"/>
          <w:szCs w:val="21"/>
          <w:lang w:val="en-US" w:eastAsia="zh-CN"/>
        </w:rPr>
      </w:pPr>
      <w:r>
        <w:rPr>
          <w:rFonts w:hint="default" w:ascii="Times New Roman" w:hAnsi="Times New Roman" w:eastAsia="宋体"/>
          <w:sz w:val="21"/>
          <w:szCs w:val="21"/>
          <w:lang w:val="en-US" w:eastAsia="zh-CN"/>
        </w:rPr>
        <w:t>1 从换流变压器进线断路器开始，至直流场线路出线端的全部主设备（交流隔离开关和接地开关除外）；</w:t>
      </w:r>
    </w:p>
    <w:p w14:paraId="583D04B6">
      <w:pPr>
        <w:ind w:firstLine="420"/>
        <w:rPr>
          <w:rFonts w:hint="default" w:ascii="Times New Roman" w:hAnsi="Times New Roman" w:eastAsia="宋体"/>
          <w:sz w:val="21"/>
          <w:szCs w:val="21"/>
          <w:lang w:val="en-US" w:eastAsia="zh-CN"/>
        </w:rPr>
      </w:pPr>
      <w:r>
        <w:rPr>
          <w:rFonts w:hint="default" w:ascii="Times New Roman" w:hAnsi="Times New Roman" w:eastAsia="宋体"/>
          <w:sz w:val="21"/>
          <w:szCs w:val="21"/>
          <w:lang w:val="en-US" w:eastAsia="zh-CN"/>
        </w:rPr>
        <w:t>2 从交流滤波器/并联电容器</w:t>
      </w:r>
      <w:r>
        <w:rPr>
          <w:rFonts w:hint="eastAsia"/>
          <w:sz w:val="21"/>
          <w:szCs w:val="21"/>
          <w:lang w:val="en-US" w:eastAsia="zh-CN"/>
        </w:rPr>
        <w:t>小</w:t>
      </w:r>
      <w:r>
        <w:rPr>
          <w:rFonts w:hint="default" w:ascii="Times New Roman" w:hAnsi="Times New Roman" w:eastAsia="宋体"/>
          <w:sz w:val="21"/>
          <w:szCs w:val="21"/>
          <w:lang w:val="en-US" w:eastAsia="zh-CN"/>
        </w:rPr>
        <w:t>组进线断路器开始，至各分组接地点之间的全部主设备（交流隔离开关和接地开关除外）；</w:t>
      </w:r>
    </w:p>
    <w:p w14:paraId="2174EE72">
      <w:pPr>
        <w:ind w:firstLine="420"/>
        <w:rPr>
          <w:rFonts w:hint="default" w:ascii="Times New Roman" w:hAnsi="Times New Roman" w:eastAsia="宋体"/>
          <w:sz w:val="21"/>
          <w:szCs w:val="21"/>
          <w:lang w:val="en-US" w:eastAsia="zh-CN"/>
        </w:rPr>
      </w:pPr>
      <w:r>
        <w:rPr>
          <w:rFonts w:hint="default" w:ascii="Times New Roman" w:hAnsi="Times New Roman" w:eastAsia="宋体"/>
          <w:sz w:val="21"/>
          <w:szCs w:val="21"/>
          <w:lang w:val="en-US" w:eastAsia="zh-CN"/>
        </w:rPr>
        <w:t>3 与直流系统相关的控制保护系统以及全站的运行人员控制系统和站控制系统。</w:t>
      </w:r>
    </w:p>
    <w:p w14:paraId="18885D70">
      <w:pPr>
        <w:outlineLvl w:val="2"/>
        <w:rPr>
          <w:rFonts w:hint="default" w:ascii="Times New Roman" w:hAnsi="Times New Roman" w:eastAsia="宋体"/>
          <w:color w:val="000000"/>
          <w:sz w:val="21"/>
          <w:szCs w:val="21"/>
          <w:lang w:val="en-US" w:eastAsia="zh-CN"/>
        </w:rPr>
      </w:pPr>
      <w:bookmarkStart w:id="411" w:name="_Toc10787"/>
      <w:r>
        <w:rPr>
          <w:rFonts w:hint="default" w:ascii="Times New Roman" w:hAnsi="Times New Roman" w:eastAsia="宋体"/>
          <w:color w:val="000000"/>
          <w:sz w:val="21"/>
          <w:szCs w:val="21"/>
          <w:lang w:val="en-US" w:eastAsia="zh-CN"/>
        </w:rPr>
        <w:t>5.1.2 柔性直流成套设备范围</w:t>
      </w:r>
      <w:bookmarkEnd w:id="411"/>
    </w:p>
    <w:p w14:paraId="2FF8E91A">
      <w:pPr>
        <w:ind w:firstLine="420"/>
        <w:rPr>
          <w:rFonts w:hint="default" w:ascii="Times New Roman" w:hAnsi="Times New Roman" w:eastAsia="宋体"/>
          <w:sz w:val="21"/>
          <w:szCs w:val="21"/>
          <w:lang w:val="en-US" w:eastAsia="zh-CN"/>
        </w:rPr>
      </w:pPr>
      <w:r>
        <w:rPr>
          <w:rFonts w:hint="default" w:ascii="Times New Roman" w:hAnsi="Times New Roman" w:eastAsia="宋体"/>
          <w:sz w:val="21"/>
          <w:szCs w:val="21"/>
          <w:lang w:val="en-US" w:eastAsia="zh-CN"/>
        </w:rPr>
        <w:t>1 柔直变压器网侧进线（含启动回路）至直流场线路出线端的全部主设备（柔直变压器网侧交流隔离开关和接地开关除外）；</w:t>
      </w:r>
    </w:p>
    <w:p w14:paraId="3D499D38">
      <w:pPr>
        <w:ind w:firstLine="420"/>
        <w:rPr>
          <w:rFonts w:hint="default" w:ascii="Times New Roman" w:hAnsi="Times New Roman" w:eastAsia="宋体"/>
          <w:sz w:val="21"/>
          <w:szCs w:val="21"/>
          <w:lang w:val="en-US" w:eastAsia="zh-CN"/>
        </w:rPr>
      </w:pPr>
      <w:r>
        <w:rPr>
          <w:rFonts w:hint="eastAsia"/>
          <w:sz w:val="21"/>
          <w:szCs w:val="21"/>
          <w:lang w:val="en-US" w:eastAsia="zh-CN"/>
        </w:rPr>
        <w:t>2 阻抗适配器/幅相校正器（如有）；</w:t>
      </w:r>
    </w:p>
    <w:p w14:paraId="1E308695">
      <w:pPr>
        <w:ind w:firstLine="420"/>
        <w:rPr>
          <w:rFonts w:hint="default" w:ascii="Times New Roman" w:hAnsi="Times New Roman" w:eastAsia="宋体"/>
          <w:szCs w:val="21"/>
          <w:lang w:val="en-US" w:eastAsia="zh-CN"/>
        </w:rPr>
      </w:pPr>
      <w:r>
        <w:rPr>
          <w:rFonts w:hint="eastAsia"/>
          <w:szCs w:val="21"/>
          <w:lang w:val="en-US" w:eastAsia="zh-CN"/>
        </w:rPr>
        <w:t>3</w:t>
      </w:r>
      <w:r>
        <w:rPr>
          <w:rFonts w:hint="default" w:ascii="Times New Roman" w:hAnsi="Times New Roman" w:eastAsia="宋体"/>
          <w:szCs w:val="21"/>
          <w:lang w:val="en-US" w:eastAsia="zh-CN"/>
        </w:rPr>
        <w:t xml:space="preserve"> 与直流系统相关的控制保护系统以及全站的运行人员控制系统和站控制系统。</w:t>
      </w:r>
    </w:p>
    <w:p w14:paraId="506BCB62">
      <w:pPr>
        <w:pStyle w:val="3"/>
        <w:rPr>
          <w:rFonts w:hint="default"/>
          <w:lang w:val="en-US" w:eastAsia="zh-CN"/>
        </w:rPr>
      </w:pPr>
      <w:bookmarkStart w:id="412" w:name="_Toc25614"/>
      <w:bookmarkStart w:id="413" w:name="_Toc395"/>
      <w:bookmarkStart w:id="414" w:name="_Toc4210"/>
      <w:bookmarkStart w:id="415" w:name="_Toc14950"/>
      <w:bookmarkStart w:id="416" w:name="_Toc15402"/>
      <w:bookmarkStart w:id="417" w:name="_Toc6107"/>
      <w:bookmarkStart w:id="418" w:name="_Toc6128"/>
      <w:bookmarkStart w:id="419" w:name="_Toc16115"/>
      <w:bookmarkStart w:id="420" w:name="_Toc10942"/>
      <w:bookmarkStart w:id="421" w:name="_Toc11986"/>
      <w:bookmarkStart w:id="422" w:name="_Toc17057"/>
      <w:bookmarkStart w:id="423" w:name="_Toc19633"/>
      <w:bookmarkStart w:id="424" w:name="_Toc18030"/>
      <w:bookmarkStart w:id="425" w:name="_Toc17449"/>
      <w:bookmarkStart w:id="426" w:name="_Toc26696"/>
      <w:bookmarkStart w:id="427" w:name="_Toc11318"/>
      <w:r>
        <w:rPr>
          <w:rFonts w:hint="default"/>
          <w:lang w:val="en-US" w:eastAsia="zh-CN"/>
        </w:rPr>
        <w:t xml:space="preserve">5.2 </w:t>
      </w:r>
      <w:r>
        <w:rPr>
          <w:rFonts w:hint="eastAsia"/>
          <w:lang w:val="en-US" w:eastAsia="zh-CN"/>
        </w:rPr>
        <w:t>直流</w:t>
      </w:r>
      <w:r>
        <w:rPr>
          <w:rFonts w:hint="default"/>
          <w:lang w:val="en-US" w:eastAsia="zh-CN"/>
        </w:rPr>
        <w:t>成套设备规范</w:t>
      </w:r>
      <w:bookmarkEnd w:id="412"/>
      <w:bookmarkEnd w:id="413"/>
      <w:bookmarkEnd w:id="414"/>
      <w:bookmarkEnd w:id="415"/>
      <w:bookmarkEnd w:id="416"/>
      <w:r>
        <w:rPr>
          <w:rFonts w:hint="default"/>
          <w:lang w:val="en-US" w:eastAsia="zh-CN"/>
        </w:rPr>
        <w:t>一般要求</w:t>
      </w:r>
      <w:bookmarkEnd w:id="417"/>
      <w:bookmarkEnd w:id="418"/>
      <w:bookmarkEnd w:id="419"/>
      <w:bookmarkEnd w:id="420"/>
      <w:bookmarkEnd w:id="421"/>
      <w:bookmarkEnd w:id="422"/>
      <w:bookmarkEnd w:id="423"/>
      <w:bookmarkEnd w:id="424"/>
      <w:bookmarkEnd w:id="425"/>
      <w:bookmarkEnd w:id="426"/>
      <w:bookmarkEnd w:id="427"/>
    </w:p>
    <w:p w14:paraId="03EA322C">
      <w:pPr>
        <w:outlineLvl w:val="2"/>
        <w:rPr>
          <w:rFonts w:hint="default" w:ascii="Times New Roman" w:hAnsi="Times New Roman" w:eastAsia="宋体"/>
          <w:color w:val="000000"/>
          <w:sz w:val="21"/>
          <w:szCs w:val="21"/>
          <w:lang w:val="en-US" w:eastAsia="zh-CN"/>
        </w:rPr>
      </w:pPr>
      <w:bookmarkStart w:id="428" w:name="_Toc3921"/>
      <w:r>
        <w:rPr>
          <w:rFonts w:hint="default" w:ascii="Times New Roman" w:hAnsi="Times New Roman" w:eastAsia="宋体"/>
          <w:color w:val="000000"/>
          <w:sz w:val="21"/>
          <w:szCs w:val="21"/>
          <w:lang w:val="en-US" w:eastAsia="zh-CN"/>
        </w:rPr>
        <w:t xml:space="preserve">5.2.1 </w:t>
      </w:r>
      <w:r>
        <w:rPr>
          <w:rFonts w:hint="eastAsia"/>
          <w:color w:val="000000"/>
          <w:sz w:val="21"/>
          <w:szCs w:val="21"/>
          <w:lang w:val="en-US" w:eastAsia="zh-CN"/>
        </w:rPr>
        <w:t>直流</w:t>
      </w:r>
      <w:r>
        <w:rPr>
          <w:rFonts w:hint="default" w:ascii="Times New Roman" w:hAnsi="Times New Roman" w:eastAsia="宋体"/>
          <w:color w:val="000000"/>
          <w:sz w:val="21"/>
          <w:szCs w:val="21"/>
          <w:lang w:val="en-US" w:eastAsia="zh-CN"/>
        </w:rPr>
        <w:t>成套设备功能规范应依据总体技术方案和系统研究对成套设备提出的主要功能和参数要求，用于设备采购。</w:t>
      </w:r>
      <w:bookmarkEnd w:id="428"/>
    </w:p>
    <w:p w14:paraId="017A3735">
      <w:pPr>
        <w:outlineLvl w:val="2"/>
        <w:rPr>
          <w:rFonts w:hint="default" w:ascii="Times New Roman" w:hAnsi="Times New Roman" w:eastAsia="宋体"/>
          <w:color w:val="000000"/>
          <w:sz w:val="21"/>
          <w:szCs w:val="21"/>
          <w:lang w:val="en-US" w:eastAsia="zh-CN"/>
        </w:rPr>
      </w:pPr>
      <w:bookmarkStart w:id="429" w:name="_Toc9138"/>
      <w:r>
        <w:rPr>
          <w:rFonts w:hint="default" w:ascii="Times New Roman" w:hAnsi="Times New Roman" w:eastAsia="宋体"/>
          <w:color w:val="000000"/>
          <w:sz w:val="21"/>
          <w:szCs w:val="21"/>
          <w:lang w:val="en-US" w:eastAsia="zh-CN"/>
        </w:rPr>
        <w:t xml:space="preserve">5.2.2 </w:t>
      </w:r>
      <w:r>
        <w:rPr>
          <w:rFonts w:hint="eastAsia"/>
          <w:color w:val="000000"/>
          <w:sz w:val="21"/>
          <w:szCs w:val="21"/>
          <w:lang w:val="en-US" w:eastAsia="zh-CN"/>
        </w:rPr>
        <w:t>直流</w:t>
      </w:r>
      <w:r>
        <w:rPr>
          <w:rFonts w:hint="default" w:ascii="Times New Roman" w:hAnsi="Times New Roman" w:eastAsia="宋体"/>
          <w:color w:val="000000"/>
          <w:sz w:val="21"/>
          <w:szCs w:val="21"/>
          <w:lang w:val="en-US" w:eastAsia="zh-CN"/>
        </w:rPr>
        <w:t>成套设备功能规范应结合工程需求提出供货范围、接口责任划分、设备技术要求、试验要求、备品备件、专用工具要求，并对技术文件、包装运输安装和质量保证体系、设计联络、供货进度、工厂检验与监造、技术服务与培训等内容提出要求。</w:t>
      </w:r>
      <w:bookmarkEnd w:id="429"/>
    </w:p>
    <w:p w14:paraId="07F7D7B2">
      <w:pPr>
        <w:outlineLvl w:val="2"/>
        <w:rPr>
          <w:rFonts w:hint="default" w:ascii="Times New Roman" w:hAnsi="Times New Roman" w:eastAsia="宋体"/>
          <w:color w:val="000000"/>
          <w:sz w:val="21"/>
          <w:szCs w:val="21"/>
          <w:lang w:val="en-US" w:eastAsia="zh-CN"/>
        </w:rPr>
      </w:pPr>
      <w:bookmarkStart w:id="430" w:name="_Toc110"/>
      <w:r>
        <w:rPr>
          <w:rFonts w:hint="default" w:ascii="Times New Roman" w:hAnsi="Times New Roman" w:eastAsia="宋体"/>
          <w:color w:val="000000"/>
          <w:sz w:val="21"/>
          <w:szCs w:val="21"/>
          <w:lang w:val="en-US" w:eastAsia="zh-CN"/>
        </w:rPr>
        <w:t xml:space="preserve">5.2.3 </w:t>
      </w:r>
      <w:r>
        <w:rPr>
          <w:rFonts w:hint="eastAsia"/>
          <w:color w:val="000000"/>
          <w:sz w:val="21"/>
          <w:szCs w:val="21"/>
          <w:lang w:val="en-US" w:eastAsia="zh-CN"/>
        </w:rPr>
        <w:t>直流</w:t>
      </w:r>
      <w:r>
        <w:rPr>
          <w:rFonts w:hint="default" w:ascii="Times New Roman" w:hAnsi="Times New Roman" w:eastAsia="宋体"/>
          <w:color w:val="000000"/>
          <w:sz w:val="21"/>
          <w:szCs w:val="21"/>
          <w:lang w:val="en-US" w:eastAsia="zh-CN"/>
        </w:rPr>
        <w:t>成套设备的技术要求应结合工程特点、系统研究结论和设备的相关标准提出。</w:t>
      </w:r>
      <w:bookmarkEnd w:id="430"/>
    </w:p>
    <w:p w14:paraId="06185025">
      <w:pPr>
        <w:pStyle w:val="3"/>
        <w:rPr>
          <w:rFonts w:hint="default"/>
          <w:lang w:val="en-US" w:eastAsia="zh-CN"/>
        </w:rPr>
      </w:pPr>
      <w:bookmarkStart w:id="431" w:name="_Toc23315"/>
      <w:bookmarkStart w:id="432" w:name="_Toc25238"/>
      <w:bookmarkStart w:id="433" w:name="_Toc12913"/>
      <w:bookmarkStart w:id="434" w:name="_Toc8869"/>
      <w:bookmarkStart w:id="435" w:name="_Toc13768"/>
      <w:bookmarkStart w:id="436" w:name="_Toc4524"/>
      <w:bookmarkStart w:id="437" w:name="_Toc14152"/>
      <w:bookmarkStart w:id="438" w:name="_Toc22652"/>
      <w:bookmarkStart w:id="439" w:name="_Toc25022"/>
      <w:bookmarkStart w:id="440" w:name="_Toc30646"/>
      <w:bookmarkStart w:id="441" w:name="_Toc3842"/>
      <w:bookmarkStart w:id="442" w:name="_Toc10718"/>
      <w:bookmarkStart w:id="443" w:name="_Toc22140"/>
      <w:bookmarkStart w:id="444" w:name="_Toc19727"/>
      <w:bookmarkStart w:id="445" w:name="_Toc16655"/>
      <w:bookmarkStart w:id="446" w:name="_Toc28032"/>
      <w:r>
        <w:rPr>
          <w:rFonts w:hint="default"/>
          <w:lang w:val="en-US" w:eastAsia="zh-CN"/>
        </w:rPr>
        <w:t xml:space="preserve">5.3 </w:t>
      </w:r>
      <w:r>
        <w:rPr>
          <w:rFonts w:hint="eastAsia"/>
          <w:color w:val="000000"/>
          <w:sz w:val="21"/>
          <w:szCs w:val="21"/>
          <w:lang w:val="en-US" w:eastAsia="zh-CN"/>
        </w:rPr>
        <w:t>直流</w:t>
      </w:r>
      <w:r>
        <w:rPr>
          <w:rFonts w:hint="default"/>
          <w:lang w:val="en-US" w:eastAsia="zh-CN"/>
        </w:rPr>
        <w:t>成套设备规范</w:t>
      </w:r>
      <w:bookmarkEnd w:id="431"/>
      <w:bookmarkEnd w:id="432"/>
      <w:bookmarkEnd w:id="433"/>
      <w:bookmarkEnd w:id="434"/>
      <w:bookmarkEnd w:id="435"/>
      <w:r>
        <w:rPr>
          <w:rFonts w:hint="default"/>
          <w:lang w:val="en-US" w:eastAsia="zh-CN"/>
        </w:rPr>
        <w:t>详细要求</w:t>
      </w:r>
      <w:bookmarkEnd w:id="436"/>
      <w:bookmarkEnd w:id="437"/>
      <w:bookmarkEnd w:id="438"/>
      <w:bookmarkEnd w:id="439"/>
      <w:bookmarkEnd w:id="440"/>
      <w:bookmarkEnd w:id="441"/>
      <w:bookmarkEnd w:id="442"/>
      <w:bookmarkEnd w:id="443"/>
      <w:bookmarkEnd w:id="444"/>
      <w:bookmarkEnd w:id="445"/>
      <w:bookmarkEnd w:id="446"/>
    </w:p>
    <w:p w14:paraId="7618F1D2">
      <w:pPr>
        <w:ind w:firstLine="420"/>
        <w:rPr>
          <w:rFonts w:hint="default" w:ascii="Times New Roman" w:hAnsi="Times New Roman" w:eastAsia="宋体"/>
          <w:sz w:val="21"/>
          <w:szCs w:val="21"/>
          <w:lang w:val="en-US" w:eastAsia="zh-CN"/>
        </w:rPr>
      </w:pPr>
      <w:r>
        <w:rPr>
          <w:rFonts w:hint="eastAsia"/>
          <w:color w:val="000000"/>
          <w:sz w:val="21"/>
          <w:szCs w:val="21"/>
          <w:lang w:val="en-US" w:eastAsia="zh-CN"/>
        </w:rPr>
        <w:t>直流</w:t>
      </w:r>
      <w:r>
        <w:rPr>
          <w:rFonts w:hint="default" w:ascii="Times New Roman" w:hAnsi="Times New Roman" w:eastAsia="宋体"/>
          <w:sz w:val="21"/>
          <w:szCs w:val="21"/>
          <w:lang w:val="en-US" w:eastAsia="zh-CN"/>
        </w:rPr>
        <w:t>成套设备规范是设备采购合同的核心技术文件，应在供货商确定后，结合最终设计方案编制完成。规范应遵</w:t>
      </w:r>
      <w:r>
        <w:rPr>
          <w:rFonts w:hint="eastAsia" w:asciiTheme="minorEastAsia" w:hAnsiTheme="minorEastAsia" w:eastAsiaTheme="minorEastAsia" w:cstheme="minorEastAsia"/>
          <w:sz w:val="21"/>
          <w:szCs w:val="21"/>
          <w:lang w:val="en-US" w:eastAsia="zh-CN"/>
        </w:rPr>
        <w:t>循“指标量化、责任清晰、流程闭合”的</w:t>
      </w:r>
      <w:r>
        <w:rPr>
          <w:rFonts w:hint="default" w:ascii="Times New Roman" w:hAnsi="Times New Roman" w:eastAsia="宋体"/>
          <w:sz w:val="21"/>
          <w:szCs w:val="21"/>
          <w:lang w:val="en-US" w:eastAsia="zh-CN"/>
        </w:rPr>
        <w:t>原则，对设备的供货、设计、制造、试验、交付及服务全过程提出明确技术要求，并作为后续设计审查、工厂监造、现场验收和质量追溯的法定依据。</w:t>
      </w:r>
    </w:p>
    <w:p w14:paraId="1DB239EF">
      <w:pPr>
        <w:outlineLvl w:val="2"/>
        <w:rPr>
          <w:rFonts w:hint="default" w:ascii="Times New Roman" w:hAnsi="Times New Roman" w:eastAsia="宋体"/>
          <w:color w:val="000000"/>
          <w:sz w:val="21"/>
          <w:szCs w:val="21"/>
          <w:lang w:val="en-US" w:eastAsia="zh-CN"/>
        </w:rPr>
      </w:pPr>
      <w:bookmarkStart w:id="447" w:name="_Toc19805"/>
      <w:r>
        <w:rPr>
          <w:rFonts w:hint="default" w:ascii="Times New Roman" w:hAnsi="Times New Roman" w:eastAsia="宋体"/>
          <w:color w:val="000000"/>
          <w:sz w:val="21"/>
          <w:szCs w:val="21"/>
          <w:lang w:val="en-US" w:eastAsia="zh-CN"/>
        </w:rPr>
        <w:t>5.3.1 服务范围</w:t>
      </w:r>
      <w:bookmarkEnd w:id="447"/>
    </w:p>
    <w:p w14:paraId="70EB8779">
      <w:pPr>
        <w:ind w:firstLine="420"/>
        <w:rPr>
          <w:rFonts w:hint="default" w:ascii="Times New Roman" w:hAnsi="Times New Roman" w:eastAsia="宋体"/>
          <w:sz w:val="21"/>
          <w:szCs w:val="21"/>
          <w:lang w:val="en-US" w:eastAsia="zh-CN"/>
        </w:rPr>
      </w:pPr>
      <w:r>
        <w:rPr>
          <w:rFonts w:hint="default" w:ascii="Times New Roman" w:hAnsi="Times New Roman" w:eastAsia="宋体"/>
          <w:sz w:val="21"/>
          <w:szCs w:val="21"/>
          <w:lang w:val="en-US" w:eastAsia="zh-CN"/>
        </w:rPr>
        <w:t xml:space="preserve">1 </w:t>
      </w:r>
      <w:r>
        <w:rPr>
          <w:rFonts w:hint="eastAsia"/>
          <w:color w:val="000000"/>
          <w:sz w:val="21"/>
          <w:szCs w:val="21"/>
          <w:lang w:val="en-US" w:eastAsia="zh-CN"/>
        </w:rPr>
        <w:t>直流</w:t>
      </w:r>
      <w:r>
        <w:rPr>
          <w:rFonts w:hint="default" w:ascii="Times New Roman" w:hAnsi="Times New Roman" w:eastAsia="宋体"/>
          <w:sz w:val="21"/>
          <w:szCs w:val="21"/>
          <w:lang w:val="en-US" w:eastAsia="zh-CN"/>
        </w:rPr>
        <w:t>成套设备规范应明确供货商需提供的设备本体、所有必需的附属设备、备品备件、专用工具及仪表等供货要求。</w:t>
      </w:r>
    </w:p>
    <w:p w14:paraId="3EA900AB">
      <w:pPr>
        <w:ind w:firstLine="420"/>
        <w:rPr>
          <w:rFonts w:hint="default" w:ascii="Times New Roman" w:hAnsi="Times New Roman" w:eastAsia="宋体"/>
          <w:sz w:val="21"/>
          <w:szCs w:val="21"/>
          <w:lang w:val="en-US" w:eastAsia="zh-CN"/>
        </w:rPr>
      </w:pPr>
      <w:r>
        <w:rPr>
          <w:rFonts w:hint="default" w:ascii="Times New Roman" w:hAnsi="Times New Roman" w:eastAsia="宋体"/>
          <w:sz w:val="21"/>
          <w:szCs w:val="21"/>
          <w:lang w:val="en-US" w:eastAsia="zh-CN"/>
        </w:rPr>
        <w:t xml:space="preserve">2 </w:t>
      </w:r>
      <w:r>
        <w:rPr>
          <w:rFonts w:hint="eastAsia"/>
          <w:color w:val="000000"/>
          <w:sz w:val="21"/>
          <w:szCs w:val="21"/>
          <w:lang w:val="en-US" w:eastAsia="zh-CN"/>
        </w:rPr>
        <w:t>直流</w:t>
      </w:r>
      <w:r>
        <w:rPr>
          <w:rFonts w:hint="default" w:ascii="Times New Roman" w:hAnsi="Times New Roman" w:eastAsia="宋体"/>
          <w:sz w:val="21"/>
          <w:szCs w:val="21"/>
          <w:lang w:val="en-US" w:eastAsia="zh-CN"/>
        </w:rPr>
        <w:t>成套设备规范应规定涵盖设备从设计、试验、安装、调试、投运等相关的服务要求。</w:t>
      </w:r>
    </w:p>
    <w:p w14:paraId="52D973BF">
      <w:pPr>
        <w:outlineLvl w:val="2"/>
        <w:rPr>
          <w:rFonts w:hint="default" w:ascii="Times New Roman" w:hAnsi="Times New Roman" w:eastAsia="宋体"/>
          <w:color w:val="000000"/>
          <w:sz w:val="21"/>
          <w:szCs w:val="21"/>
          <w:lang w:val="en-US" w:eastAsia="zh-CN"/>
        </w:rPr>
      </w:pPr>
      <w:bookmarkStart w:id="448" w:name="_Toc1487"/>
      <w:r>
        <w:rPr>
          <w:rFonts w:hint="default" w:ascii="Times New Roman" w:hAnsi="Times New Roman" w:eastAsia="宋体"/>
          <w:color w:val="000000"/>
          <w:sz w:val="21"/>
          <w:szCs w:val="21"/>
          <w:lang w:val="en-US" w:eastAsia="zh-CN"/>
        </w:rPr>
        <w:t>5.3.2 应遵循的标准</w:t>
      </w:r>
      <w:bookmarkEnd w:id="448"/>
    </w:p>
    <w:p w14:paraId="62083DFA">
      <w:pPr>
        <w:ind w:firstLine="420"/>
        <w:rPr>
          <w:rFonts w:hint="default" w:ascii="Times New Roman" w:hAnsi="Times New Roman" w:eastAsia="宋体"/>
          <w:sz w:val="21"/>
          <w:szCs w:val="21"/>
          <w:lang w:val="en-US" w:eastAsia="zh-CN"/>
        </w:rPr>
      </w:pPr>
      <w:r>
        <w:rPr>
          <w:rFonts w:hint="eastAsia"/>
          <w:color w:val="000000"/>
          <w:sz w:val="21"/>
          <w:szCs w:val="21"/>
          <w:lang w:val="en-US" w:eastAsia="zh-CN"/>
        </w:rPr>
        <w:t>直流</w:t>
      </w:r>
      <w:r>
        <w:rPr>
          <w:rFonts w:hint="default" w:ascii="Times New Roman" w:hAnsi="Times New Roman" w:eastAsia="宋体"/>
          <w:sz w:val="21"/>
          <w:szCs w:val="21"/>
          <w:lang w:val="en-US" w:eastAsia="zh-CN"/>
        </w:rPr>
        <w:t>成套设备规范应明确设备设计、制造、试验及验收所遵循的技术标准体系。标准执行优先级应遵循：</w:t>
      </w:r>
    </w:p>
    <w:p w14:paraId="140BEC1B">
      <w:pPr>
        <w:ind w:firstLine="420"/>
        <w:rPr>
          <w:rFonts w:hint="default" w:ascii="Times New Roman" w:hAnsi="Times New Roman" w:eastAsia="宋体"/>
          <w:sz w:val="21"/>
          <w:szCs w:val="21"/>
          <w:lang w:val="en-US" w:eastAsia="zh-CN"/>
        </w:rPr>
      </w:pPr>
      <w:r>
        <w:rPr>
          <w:rFonts w:hint="default" w:ascii="Times New Roman" w:hAnsi="Times New Roman" w:eastAsia="宋体"/>
          <w:sz w:val="21"/>
          <w:szCs w:val="21"/>
          <w:lang w:val="en-US" w:eastAsia="zh-CN"/>
        </w:rPr>
        <w:t>1 国家强制性标准及行业强制性条文；</w:t>
      </w:r>
    </w:p>
    <w:p w14:paraId="2C81E69E">
      <w:pPr>
        <w:ind w:firstLine="420"/>
        <w:rPr>
          <w:rFonts w:hint="default" w:ascii="Times New Roman" w:hAnsi="Times New Roman" w:eastAsia="宋体"/>
          <w:sz w:val="21"/>
          <w:szCs w:val="21"/>
          <w:lang w:val="en-US" w:eastAsia="zh-CN"/>
        </w:rPr>
      </w:pPr>
      <w:r>
        <w:rPr>
          <w:rFonts w:hint="default" w:ascii="Times New Roman" w:hAnsi="Times New Roman" w:eastAsia="宋体"/>
          <w:sz w:val="21"/>
          <w:szCs w:val="21"/>
          <w:lang w:val="en-US" w:eastAsia="zh-CN"/>
        </w:rPr>
        <w:t>2 国家标准（GB）、电力行业标准（DL）；</w:t>
      </w:r>
    </w:p>
    <w:p w14:paraId="5E1DF550">
      <w:pPr>
        <w:ind w:firstLine="420"/>
        <w:rPr>
          <w:rFonts w:hint="default" w:ascii="Times New Roman" w:hAnsi="Times New Roman" w:eastAsia="宋体"/>
          <w:sz w:val="21"/>
          <w:szCs w:val="21"/>
          <w:lang w:val="en-US" w:eastAsia="zh-CN"/>
        </w:rPr>
      </w:pPr>
      <w:r>
        <w:rPr>
          <w:rFonts w:hint="default" w:ascii="Times New Roman" w:hAnsi="Times New Roman" w:eastAsia="宋体"/>
          <w:sz w:val="21"/>
          <w:szCs w:val="21"/>
          <w:lang w:val="en-US" w:eastAsia="zh-CN"/>
        </w:rPr>
        <w:t>3 机械行业标准（JB）、国际电工委员会标准（IEC）；</w:t>
      </w:r>
    </w:p>
    <w:p w14:paraId="19DC8E5B">
      <w:pPr>
        <w:ind w:firstLine="420"/>
        <w:rPr>
          <w:rFonts w:hint="default" w:ascii="Times New Roman" w:hAnsi="Times New Roman" w:eastAsia="宋体"/>
          <w:sz w:val="21"/>
          <w:szCs w:val="21"/>
          <w:lang w:val="en-US" w:eastAsia="zh-CN"/>
        </w:rPr>
      </w:pPr>
      <w:r>
        <w:rPr>
          <w:rFonts w:hint="default" w:ascii="Times New Roman" w:hAnsi="Times New Roman" w:eastAsia="宋体"/>
          <w:sz w:val="21"/>
          <w:szCs w:val="21"/>
          <w:lang w:val="en-US" w:eastAsia="zh-CN"/>
        </w:rPr>
        <w:t>4 业主单位发布的企业标准、反事故措施及技术管理规程。</w:t>
      </w:r>
    </w:p>
    <w:p w14:paraId="7894D245">
      <w:pPr>
        <w:outlineLvl w:val="2"/>
        <w:rPr>
          <w:rFonts w:hint="default" w:ascii="Times New Roman" w:hAnsi="Times New Roman" w:eastAsia="宋体"/>
          <w:color w:val="000000"/>
          <w:sz w:val="21"/>
          <w:szCs w:val="21"/>
          <w:lang w:val="en-US" w:eastAsia="zh-CN"/>
        </w:rPr>
      </w:pPr>
      <w:bookmarkStart w:id="449" w:name="_Toc11413"/>
      <w:r>
        <w:rPr>
          <w:rFonts w:hint="default" w:ascii="Times New Roman" w:hAnsi="Times New Roman" w:eastAsia="宋体"/>
          <w:color w:val="000000"/>
          <w:sz w:val="21"/>
          <w:szCs w:val="21"/>
          <w:lang w:val="en-US" w:eastAsia="zh-CN"/>
        </w:rPr>
        <w:t>5.3.3</w:t>
      </w:r>
      <w:r>
        <w:rPr>
          <w:rFonts w:hint="eastAsia" w:ascii="Times New Roman" w:hAnsi="Times New Roman" w:eastAsia="宋体"/>
          <w:color w:val="000000"/>
          <w:sz w:val="21"/>
          <w:szCs w:val="21"/>
          <w:lang w:val="en-US" w:eastAsia="zh-CN"/>
        </w:rPr>
        <w:t xml:space="preserve"> </w:t>
      </w:r>
      <w:r>
        <w:rPr>
          <w:rFonts w:hint="default" w:ascii="Times New Roman" w:hAnsi="Times New Roman" w:eastAsia="宋体"/>
          <w:color w:val="000000"/>
          <w:sz w:val="21"/>
          <w:szCs w:val="21"/>
          <w:lang w:val="en-US" w:eastAsia="zh-CN"/>
        </w:rPr>
        <w:t>接口责任划分</w:t>
      </w:r>
      <w:bookmarkEnd w:id="449"/>
    </w:p>
    <w:p w14:paraId="1C9FDAF8">
      <w:pPr>
        <w:ind w:firstLine="420"/>
        <w:rPr>
          <w:rFonts w:hint="default" w:ascii="Times New Roman" w:hAnsi="Times New Roman" w:eastAsia="宋体"/>
          <w:sz w:val="21"/>
          <w:szCs w:val="21"/>
          <w:lang w:val="en-US" w:eastAsia="zh-CN"/>
        </w:rPr>
      </w:pPr>
      <w:r>
        <w:rPr>
          <w:rFonts w:hint="eastAsia"/>
          <w:color w:val="000000"/>
          <w:sz w:val="21"/>
          <w:szCs w:val="21"/>
          <w:lang w:val="en-US" w:eastAsia="zh-CN"/>
        </w:rPr>
        <w:t>直流</w:t>
      </w:r>
      <w:r>
        <w:rPr>
          <w:rFonts w:hint="default" w:ascii="Times New Roman" w:hAnsi="Times New Roman" w:eastAsia="宋体"/>
          <w:sz w:val="21"/>
          <w:szCs w:val="21"/>
          <w:lang w:val="en-US" w:eastAsia="zh-CN"/>
        </w:rPr>
        <w:t>成套设备规范应明确设备本体与外部系统的电气、土建等接口责任划分原则和必要的配合机制。</w:t>
      </w:r>
    </w:p>
    <w:p w14:paraId="1B2744B7">
      <w:pPr>
        <w:outlineLvl w:val="2"/>
        <w:rPr>
          <w:rFonts w:hint="default" w:ascii="Times New Roman" w:hAnsi="Times New Roman" w:eastAsia="宋体"/>
          <w:color w:val="000000"/>
          <w:sz w:val="21"/>
          <w:szCs w:val="21"/>
          <w:lang w:val="en-US" w:eastAsia="zh-CN"/>
        </w:rPr>
      </w:pPr>
      <w:bookmarkStart w:id="450" w:name="_Toc20322"/>
      <w:r>
        <w:rPr>
          <w:rFonts w:hint="default" w:ascii="Times New Roman" w:hAnsi="Times New Roman" w:eastAsia="宋体"/>
          <w:color w:val="000000"/>
          <w:sz w:val="21"/>
          <w:szCs w:val="21"/>
          <w:lang w:val="en-US" w:eastAsia="zh-CN"/>
        </w:rPr>
        <w:t>5.3.4</w:t>
      </w:r>
      <w:r>
        <w:rPr>
          <w:rFonts w:hint="eastAsia" w:ascii="Times New Roman" w:hAnsi="Times New Roman" w:eastAsia="宋体"/>
          <w:color w:val="000000"/>
          <w:sz w:val="21"/>
          <w:szCs w:val="21"/>
          <w:lang w:val="en-US" w:eastAsia="zh-CN"/>
        </w:rPr>
        <w:t xml:space="preserve"> </w:t>
      </w:r>
      <w:r>
        <w:rPr>
          <w:rFonts w:hint="default" w:ascii="Times New Roman" w:hAnsi="Times New Roman" w:eastAsia="宋体"/>
          <w:color w:val="000000"/>
          <w:sz w:val="21"/>
          <w:szCs w:val="21"/>
          <w:lang w:val="en-US" w:eastAsia="zh-CN"/>
        </w:rPr>
        <w:t>设备技术要求</w:t>
      </w:r>
      <w:bookmarkEnd w:id="450"/>
    </w:p>
    <w:p w14:paraId="28F9E9C7">
      <w:pPr>
        <w:ind w:firstLine="420"/>
        <w:rPr>
          <w:rFonts w:hint="default" w:ascii="Times New Roman" w:hAnsi="Times New Roman" w:eastAsia="宋体"/>
          <w:sz w:val="21"/>
          <w:szCs w:val="21"/>
          <w:lang w:val="en-US" w:eastAsia="zh-CN"/>
        </w:rPr>
      </w:pPr>
      <w:r>
        <w:rPr>
          <w:rFonts w:hint="default" w:ascii="Times New Roman" w:hAnsi="Times New Roman" w:eastAsia="宋体"/>
          <w:sz w:val="21"/>
          <w:szCs w:val="21"/>
          <w:lang w:val="en-US" w:eastAsia="zh-CN"/>
        </w:rPr>
        <w:t xml:space="preserve">1 </w:t>
      </w:r>
      <w:r>
        <w:rPr>
          <w:rFonts w:hint="eastAsia"/>
          <w:color w:val="000000"/>
          <w:sz w:val="21"/>
          <w:szCs w:val="21"/>
          <w:lang w:val="en-US" w:eastAsia="zh-CN"/>
        </w:rPr>
        <w:t>直流</w:t>
      </w:r>
      <w:r>
        <w:rPr>
          <w:rFonts w:hint="default" w:ascii="Times New Roman" w:hAnsi="Times New Roman" w:eastAsia="宋体"/>
          <w:sz w:val="21"/>
          <w:szCs w:val="21"/>
          <w:lang w:val="en-US" w:eastAsia="zh-CN"/>
        </w:rPr>
        <w:t>成套设备规范应明确设备的使用条件，包括运输条件、环境条件和系统运行条件。</w:t>
      </w:r>
    </w:p>
    <w:p w14:paraId="1584A8D9">
      <w:pPr>
        <w:ind w:firstLine="420"/>
        <w:rPr>
          <w:rFonts w:hint="default" w:ascii="Times New Roman" w:hAnsi="Times New Roman" w:eastAsia="宋体"/>
          <w:sz w:val="21"/>
          <w:szCs w:val="21"/>
          <w:lang w:val="en-US" w:eastAsia="zh-CN"/>
        </w:rPr>
      </w:pPr>
      <w:r>
        <w:rPr>
          <w:rFonts w:hint="default" w:ascii="Times New Roman" w:hAnsi="Times New Roman" w:eastAsia="宋体"/>
          <w:sz w:val="21"/>
          <w:szCs w:val="21"/>
          <w:lang w:val="en-US" w:eastAsia="zh-CN"/>
        </w:rPr>
        <w:t xml:space="preserve">2 </w:t>
      </w:r>
      <w:r>
        <w:rPr>
          <w:rFonts w:hint="eastAsia"/>
          <w:color w:val="000000"/>
          <w:sz w:val="21"/>
          <w:szCs w:val="21"/>
          <w:lang w:val="en-US" w:eastAsia="zh-CN"/>
        </w:rPr>
        <w:t>直流</w:t>
      </w:r>
      <w:r>
        <w:rPr>
          <w:rFonts w:hint="default" w:ascii="Times New Roman" w:hAnsi="Times New Roman" w:eastAsia="宋体"/>
          <w:sz w:val="21"/>
          <w:szCs w:val="21"/>
          <w:lang w:val="en-US" w:eastAsia="zh-CN"/>
        </w:rPr>
        <w:t>成套设备规范应明确设备的关键技术参数与性能指标。</w:t>
      </w:r>
    </w:p>
    <w:p w14:paraId="549F5FB4">
      <w:pPr>
        <w:ind w:firstLine="420"/>
        <w:rPr>
          <w:rFonts w:hint="default" w:ascii="Times New Roman" w:hAnsi="Times New Roman" w:eastAsia="宋体"/>
          <w:sz w:val="21"/>
          <w:szCs w:val="21"/>
          <w:lang w:val="en-US" w:eastAsia="zh-CN"/>
        </w:rPr>
      </w:pPr>
      <w:r>
        <w:rPr>
          <w:rFonts w:hint="default" w:ascii="Times New Roman" w:hAnsi="Times New Roman" w:eastAsia="宋体"/>
          <w:sz w:val="21"/>
          <w:szCs w:val="21"/>
          <w:lang w:val="en-US" w:eastAsia="zh-CN"/>
        </w:rPr>
        <w:t xml:space="preserve">3 </w:t>
      </w:r>
      <w:r>
        <w:rPr>
          <w:rFonts w:hint="eastAsia"/>
          <w:color w:val="000000"/>
          <w:sz w:val="21"/>
          <w:szCs w:val="21"/>
          <w:lang w:val="en-US" w:eastAsia="zh-CN"/>
        </w:rPr>
        <w:t>直流</w:t>
      </w:r>
      <w:r>
        <w:rPr>
          <w:rFonts w:hint="default" w:ascii="Times New Roman" w:hAnsi="Times New Roman" w:eastAsia="宋体"/>
          <w:sz w:val="21"/>
          <w:szCs w:val="21"/>
          <w:lang w:val="en-US" w:eastAsia="zh-CN"/>
        </w:rPr>
        <w:t>成套设备规范应明确设备的材料、结构、寿命、以及特殊设计（如有）等要求。</w:t>
      </w:r>
    </w:p>
    <w:p w14:paraId="332FA25F">
      <w:pPr>
        <w:outlineLvl w:val="2"/>
        <w:rPr>
          <w:rFonts w:hint="default" w:ascii="Times New Roman" w:hAnsi="Times New Roman" w:eastAsia="宋体"/>
          <w:color w:val="000000"/>
          <w:sz w:val="21"/>
          <w:szCs w:val="21"/>
          <w:lang w:val="en-US" w:eastAsia="zh-CN"/>
        </w:rPr>
      </w:pPr>
      <w:bookmarkStart w:id="451" w:name="_Toc19280"/>
      <w:r>
        <w:rPr>
          <w:rFonts w:hint="default" w:ascii="Times New Roman" w:hAnsi="Times New Roman" w:eastAsia="宋体"/>
          <w:color w:val="000000"/>
          <w:sz w:val="21"/>
          <w:szCs w:val="21"/>
          <w:lang w:val="en-US" w:eastAsia="zh-CN"/>
        </w:rPr>
        <w:t>5.3.5</w:t>
      </w:r>
      <w:r>
        <w:rPr>
          <w:rFonts w:hint="eastAsia" w:ascii="Times New Roman" w:hAnsi="Times New Roman" w:eastAsia="宋体"/>
          <w:color w:val="000000"/>
          <w:sz w:val="21"/>
          <w:szCs w:val="21"/>
          <w:lang w:val="en-US" w:eastAsia="zh-CN"/>
        </w:rPr>
        <w:t xml:space="preserve"> </w:t>
      </w:r>
      <w:r>
        <w:rPr>
          <w:rFonts w:hint="default" w:ascii="Times New Roman" w:hAnsi="Times New Roman" w:eastAsia="宋体"/>
          <w:color w:val="000000"/>
          <w:sz w:val="21"/>
          <w:szCs w:val="21"/>
          <w:lang w:val="en-US" w:eastAsia="zh-CN"/>
        </w:rPr>
        <w:t>试验要求</w:t>
      </w:r>
      <w:bookmarkEnd w:id="451"/>
    </w:p>
    <w:p w14:paraId="2ED9D2CC">
      <w:pPr>
        <w:ind w:firstLine="420"/>
        <w:rPr>
          <w:rFonts w:hint="default" w:ascii="Times New Roman" w:hAnsi="Times New Roman" w:eastAsia="宋体"/>
          <w:sz w:val="21"/>
          <w:szCs w:val="21"/>
          <w:lang w:val="en-US" w:eastAsia="zh-CN"/>
        </w:rPr>
      </w:pPr>
      <w:r>
        <w:rPr>
          <w:rFonts w:hint="default" w:ascii="Times New Roman" w:hAnsi="Times New Roman" w:eastAsia="宋体"/>
          <w:sz w:val="21"/>
          <w:szCs w:val="21"/>
          <w:lang w:val="en-US" w:eastAsia="zh-CN"/>
        </w:rPr>
        <w:t xml:space="preserve">1 </w:t>
      </w:r>
      <w:r>
        <w:rPr>
          <w:rFonts w:hint="eastAsia"/>
          <w:color w:val="000000"/>
          <w:sz w:val="21"/>
          <w:szCs w:val="21"/>
          <w:lang w:val="en-US" w:eastAsia="zh-CN"/>
        </w:rPr>
        <w:t>直流</w:t>
      </w:r>
      <w:r>
        <w:rPr>
          <w:rFonts w:hint="default" w:ascii="Times New Roman" w:hAnsi="Times New Roman" w:eastAsia="宋体"/>
          <w:sz w:val="21"/>
          <w:szCs w:val="21"/>
          <w:lang w:val="en-US" w:eastAsia="zh-CN"/>
        </w:rPr>
        <w:t>成套设备规范应明确设备的型式试验、例行试验和现场交接试验要求和所依据的试验标准。</w:t>
      </w:r>
    </w:p>
    <w:p w14:paraId="66E2F7CC">
      <w:pPr>
        <w:ind w:firstLine="420"/>
        <w:rPr>
          <w:rFonts w:hint="default" w:ascii="Times New Roman" w:hAnsi="Times New Roman" w:eastAsia="宋体"/>
          <w:sz w:val="21"/>
          <w:szCs w:val="21"/>
          <w:lang w:val="en-US" w:eastAsia="zh-CN"/>
        </w:rPr>
      </w:pPr>
      <w:r>
        <w:rPr>
          <w:rFonts w:hint="default" w:ascii="Times New Roman" w:hAnsi="Times New Roman" w:eastAsia="宋体"/>
          <w:sz w:val="21"/>
          <w:szCs w:val="21"/>
          <w:lang w:val="en-US" w:eastAsia="zh-CN"/>
        </w:rPr>
        <w:t xml:space="preserve">2 </w:t>
      </w:r>
      <w:r>
        <w:rPr>
          <w:rFonts w:hint="eastAsia"/>
          <w:color w:val="000000"/>
          <w:sz w:val="21"/>
          <w:szCs w:val="21"/>
          <w:lang w:val="en-US" w:eastAsia="zh-CN"/>
        </w:rPr>
        <w:t>直流</w:t>
      </w:r>
      <w:r>
        <w:rPr>
          <w:rFonts w:hint="default" w:ascii="Times New Roman" w:hAnsi="Times New Roman" w:eastAsia="宋体"/>
          <w:sz w:val="21"/>
          <w:szCs w:val="21"/>
          <w:lang w:val="en-US" w:eastAsia="zh-CN"/>
        </w:rPr>
        <w:t>成套设备规范应明确设备各层级的试验项目、试验对象、试验方法和验收标准。</w:t>
      </w:r>
    </w:p>
    <w:p w14:paraId="267402C9">
      <w:pPr>
        <w:ind w:firstLine="420"/>
        <w:rPr>
          <w:rFonts w:hint="default" w:ascii="Times New Roman" w:hAnsi="Times New Roman" w:eastAsia="宋体"/>
          <w:sz w:val="21"/>
          <w:szCs w:val="21"/>
          <w:lang w:val="en-US" w:eastAsia="zh-CN"/>
        </w:rPr>
      </w:pPr>
      <w:r>
        <w:rPr>
          <w:rFonts w:hint="default" w:ascii="Times New Roman" w:hAnsi="Times New Roman" w:eastAsia="宋体"/>
          <w:sz w:val="21"/>
          <w:szCs w:val="21"/>
          <w:lang w:val="en-US" w:eastAsia="zh-CN"/>
        </w:rPr>
        <w:t xml:space="preserve">3 </w:t>
      </w:r>
      <w:r>
        <w:rPr>
          <w:rFonts w:hint="eastAsia"/>
          <w:color w:val="000000"/>
          <w:sz w:val="21"/>
          <w:szCs w:val="21"/>
          <w:lang w:val="en-US" w:eastAsia="zh-CN"/>
        </w:rPr>
        <w:t>直流</w:t>
      </w:r>
      <w:r>
        <w:rPr>
          <w:rFonts w:hint="default" w:ascii="Times New Roman" w:hAnsi="Times New Roman" w:eastAsia="宋体"/>
          <w:sz w:val="21"/>
          <w:szCs w:val="21"/>
          <w:lang w:val="en-US" w:eastAsia="zh-CN"/>
        </w:rPr>
        <w:t>成套设备规范应明确设备试验检测机构及试验报告要求。</w:t>
      </w:r>
    </w:p>
    <w:p w14:paraId="37E5AF47">
      <w:pPr>
        <w:outlineLvl w:val="2"/>
        <w:rPr>
          <w:rFonts w:hint="default" w:ascii="Times New Roman" w:hAnsi="Times New Roman" w:eastAsia="宋体"/>
          <w:color w:val="000000"/>
          <w:sz w:val="21"/>
          <w:szCs w:val="21"/>
          <w:lang w:val="en-US" w:eastAsia="zh-CN"/>
        </w:rPr>
      </w:pPr>
      <w:bookmarkStart w:id="452" w:name="_Toc15439"/>
      <w:r>
        <w:rPr>
          <w:rFonts w:hint="default" w:ascii="Times New Roman" w:hAnsi="Times New Roman" w:eastAsia="宋体"/>
          <w:color w:val="000000"/>
          <w:sz w:val="21"/>
          <w:szCs w:val="21"/>
          <w:lang w:val="en-US" w:eastAsia="zh-CN"/>
        </w:rPr>
        <w:t>5.3.6</w:t>
      </w:r>
      <w:r>
        <w:rPr>
          <w:rFonts w:hint="eastAsia" w:ascii="Times New Roman" w:hAnsi="Times New Roman" w:eastAsia="宋体"/>
          <w:color w:val="000000"/>
          <w:sz w:val="21"/>
          <w:szCs w:val="21"/>
          <w:lang w:val="en-US" w:eastAsia="zh-CN"/>
        </w:rPr>
        <w:t xml:space="preserve"> </w:t>
      </w:r>
      <w:r>
        <w:rPr>
          <w:rFonts w:hint="default" w:ascii="Times New Roman" w:hAnsi="Times New Roman" w:eastAsia="宋体"/>
          <w:color w:val="000000"/>
          <w:sz w:val="21"/>
          <w:szCs w:val="21"/>
          <w:lang w:val="en-US" w:eastAsia="zh-CN"/>
        </w:rPr>
        <w:t>备品备件与专用工具要求</w:t>
      </w:r>
      <w:bookmarkEnd w:id="452"/>
    </w:p>
    <w:p w14:paraId="1FBD1BA1">
      <w:pPr>
        <w:ind w:firstLine="420"/>
        <w:rPr>
          <w:rFonts w:hint="default" w:ascii="Times New Roman" w:hAnsi="Times New Roman" w:eastAsia="宋体"/>
          <w:sz w:val="21"/>
          <w:szCs w:val="21"/>
          <w:lang w:val="en-US" w:eastAsia="zh-CN"/>
        </w:rPr>
      </w:pPr>
      <w:r>
        <w:rPr>
          <w:rFonts w:hint="default" w:ascii="Times New Roman" w:hAnsi="Times New Roman" w:eastAsia="宋体"/>
          <w:sz w:val="21"/>
          <w:szCs w:val="21"/>
          <w:lang w:val="en-US" w:eastAsia="zh-CN"/>
        </w:rPr>
        <w:t xml:space="preserve">1 </w:t>
      </w:r>
      <w:r>
        <w:rPr>
          <w:rFonts w:hint="eastAsia"/>
          <w:color w:val="000000"/>
          <w:sz w:val="21"/>
          <w:szCs w:val="21"/>
          <w:lang w:val="en-US" w:eastAsia="zh-CN"/>
        </w:rPr>
        <w:t>直流</w:t>
      </w:r>
      <w:r>
        <w:rPr>
          <w:rFonts w:hint="default" w:ascii="Times New Roman" w:hAnsi="Times New Roman" w:eastAsia="宋体"/>
          <w:sz w:val="21"/>
          <w:szCs w:val="21"/>
          <w:lang w:val="en-US" w:eastAsia="zh-CN"/>
        </w:rPr>
        <w:t>成套设备规范应明确供货商提</w:t>
      </w:r>
      <w:r>
        <w:rPr>
          <w:rFonts w:hint="eastAsia" w:asciiTheme="minorEastAsia" w:hAnsiTheme="minorEastAsia" w:eastAsiaTheme="minorEastAsia" w:cstheme="minorEastAsia"/>
          <w:sz w:val="21"/>
          <w:szCs w:val="21"/>
          <w:lang w:val="en-US" w:eastAsia="zh-CN"/>
        </w:rPr>
        <w:t>供“必备”的</w:t>
      </w:r>
      <w:r>
        <w:rPr>
          <w:rFonts w:hint="default" w:ascii="Times New Roman" w:hAnsi="Times New Roman" w:eastAsia="宋体"/>
          <w:sz w:val="21"/>
          <w:szCs w:val="21"/>
          <w:lang w:val="en-US" w:eastAsia="zh-CN"/>
        </w:rPr>
        <w:t>备品备件清单，以</w:t>
      </w:r>
      <w:r>
        <w:rPr>
          <w:rFonts w:hint="eastAsia" w:asciiTheme="minorEastAsia" w:hAnsiTheme="minorEastAsia" w:eastAsiaTheme="minorEastAsia" w:cstheme="minorEastAsia"/>
          <w:sz w:val="21"/>
          <w:szCs w:val="21"/>
          <w:lang w:val="en-US" w:eastAsia="zh-CN"/>
        </w:rPr>
        <w:t>及“推荐”的</w:t>
      </w:r>
      <w:r>
        <w:rPr>
          <w:rFonts w:hint="default" w:ascii="Times New Roman" w:hAnsi="Times New Roman" w:eastAsia="宋体"/>
          <w:sz w:val="21"/>
          <w:szCs w:val="21"/>
          <w:lang w:val="en-US" w:eastAsia="zh-CN"/>
        </w:rPr>
        <w:t>清单供业主选择，应包括名称、型号、数量、重量、尺寸及存放条件。</w:t>
      </w:r>
    </w:p>
    <w:p w14:paraId="636AF3E2">
      <w:pPr>
        <w:ind w:firstLine="420"/>
        <w:rPr>
          <w:rFonts w:hint="default" w:ascii="Times New Roman" w:hAnsi="Times New Roman" w:eastAsia="宋体"/>
          <w:sz w:val="21"/>
          <w:szCs w:val="21"/>
          <w:lang w:val="en-US" w:eastAsia="zh-CN"/>
        </w:rPr>
      </w:pPr>
      <w:r>
        <w:rPr>
          <w:rFonts w:hint="default" w:ascii="Times New Roman" w:hAnsi="Times New Roman" w:eastAsia="宋体"/>
          <w:sz w:val="21"/>
          <w:szCs w:val="21"/>
          <w:lang w:val="en-US" w:eastAsia="zh-CN"/>
        </w:rPr>
        <w:t xml:space="preserve">2 </w:t>
      </w:r>
      <w:r>
        <w:rPr>
          <w:rFonts w:hint="eastAsia"/>
          <w:color w:val="000000"/>
          <w:sz w:val="21"/>
          <w:szCs w:val="21"/>
          <w:lang w:val="en-US" w:eastAsia="zh-CN"/>
        </w:rPr>
        <w:t>直流</w:t>
      </w:r>
      <w:r>
        <w:rPr>
          <w:rFonts w:hint="default" w:ascii="Times New Roman" w:hAnsi="Times New Roman" w:eastAsia="宋体"/>
          <w:sz w:val="21"/>
          <w:szCs w:val="21"/>
          <w:lang w:val="en-US" w:eastAsia="zh-CN"/>
        </w:rPr>
        <w:t>成套设备规范应规定所有备品备件的材料、规格和制造工艺须与整机原装配件完全一致，确保完全的互换性。</w:t>
      </w:r>
    </w:p>
    <w:p w14:paraId="0B474BF1">
      <w:pPr>
        <w:ind w:firstLine="420"/>
        <w:rPr>
          <w:rFonts w:hint="default" w:ascii="Times New Roman" w:hAnsi="Times New Roman" w:eastAsia="宋体"/>
          <w:sz w:val="21"/>
          <w:szCs w:val="21"/>
          <w:lang w:val="en-US" w:eastAsia="zh-CN"/>
        </w:rPr>
      </w:pPr>
      <w:r>
        <w:rPr>
          <w:rFonts w:hint="default" w:ascii="Times New Roman" w:hAnsi="Times New Roman" w:eastAsia="宋体"/>
          <w:sz w:val="21"/>
          <w:szCs w:val="21"/>
          <w:lang w:val="en-US" w:eastAsia="zh-CN"/>
        </w:rPr>
        <w:t xml:space="preserve">3 </w:t>
      </w:r>
      <w:r>
        <w:rPr>
          <w:rFonts w:hint="eastAsia"/>
          <w:color w:val="000000"/>
          <w:sz w:val="21"/>
          <w:szCs w:val="21"/>
          <w:lang w:val="en-US" w:eastAsia="zh-CN"/>
        </w:rPr>
        <w:t>直流</w:t>
      </w:r>
      <w:r>
        <w:rPr>
          <w:rFonts w:hint="default" w:ascii="Times New Roman" w:hAnsi="Times New Roman" w:eastAsia="宋体"/>
          <w:sz w:val="21"/>
          <w:szCs w:val="21"/>
          <w:lang w:val="en-US" w:eastAsia="zh-CN"/>
        </w:rPr>
        <w:t>成套设备规范应明确供货商提供设备安装、调试及维护所必需的专用工具和仪器仪表，并附带详细的使用说明资料。</w:t>
      </w:r>
    </w:p>
    <w:p w14:paraId="7EA4EDE8">
      <w:pPr>
        <w:outlineLvl w:val="2"/>
        <w:rPr>
          <w:rFonts w:hint="default" w:ascii="Times New Roman" w:hAnsi="Times New Roman" w:eastAsia="宋体"/>
          <w:color w:val="000000"/>
          <w:sz w:val="21"/>
          <w:szCs w:val="21"/>
          <w:lang w:val="en-US" w:eastAsia="zh-CN"/>
        </w:rPr>
      </w:pPr>
      <w:bookmarkStart w:id="453" w:name="_Toc2628"/>
      <w:r>
        <w:rPr>
          <w:rFonts w:hint="default" w:ascii="Times New Roman" w:hAnsi="Times New Roman" w:eastAsia="宋体"/>
          <w:color w:val="000000"/>
          <w:sz w:val="21"/>
          <w:szCs w:val="21"/>
          <w:lang w:val="en-US" w:eastAsia="zh-CN"/>
        </w:rPr>
        <w:t>5.3.7</w:t>
      </w:r>
      <w:r>
        <w:rPr>
          <w:rFonts w:hint="eastAsia" w:ascii="Times New Roman" w:hAnsi="Times New Roman" w:eastAsia="宋体"/>
          <w:color w:val="000000"/>
          <w:sz w:val="21"/>
          <w:szCs w:val="21"/>
          <w:lang w:val="en-US" w:eastAsia="zh-CN"/>
        </w:rPr>
        <w:t xml:space="preserve"> </w:t>
      </w:r>
      <w:r>
        <w:rPr>
          <w:rFonts w:hint="default" w:ascii="Times New Roman" w:hAnsi="Times New Roman" w:eastAsia="宋体"/>
          <w:color w:val="000000"/>
          <w:sz w:val="21"/>
          <w:szCs w:val="21"/>
          <w:lang w:val="en-US" w:eastAsia="zh-CN"/>
        </w:rPr>
        <w:t>其它要求</w:t>
      </w:r>
      <w:bookmarkEnd w:id="453"/>
    </w:p>
    <w:p w14:paraId="51D1E87D">
      <w:pPr>
        <w:ind w:firstLine="420"/>
        <w:rPr>
          <w:rFonts w:hint="default" w:ascii="Times New Roman" w:hAnsi="Times New Roman" w:eastAsia="宋体"/>
          <w:sz w:val="21"/>
          <w:szCs w:val="21"/>
          <w:lang w:val="en-US" w:eastAsia="zh-CN"/>
        </w:rPr>
      </w:pPr>
      <w:r>
        <w:rPr>
          <w:rFonts w:hint="eastAsia"/>
          <w:color w:val="000000"/>
          <w:sz w:val="21"/>
          <w:szCs w:val="21"/>
          <w:lang w:val="en-US" w:eastAsia="zh-CN"/>
        </w:rPr>
        <w:t>直流</w:t>
      </w:r>
      <w:r>
        <w:rPr>
          <w:rFonts w:hint="default" w:ascii="Times New Roman" w:hAnsi="Times New Roman" w:eastAsia="宋体"/>
          <w:sz w:val="21"/>
          <w:szCs w:val="21"/>
          <w:lang w:val="en-US" w:eastAsia="zh-CN"/>
        </w:rPr>
        <w:t>成套设备规范应对设备技术文件、包装运输安装和质量保证体系、设计联络、供货进度、工厂检验与监造、技术服务与培训等方面提出具体要求。</w:t>
      </w:r>
    </w:p>
    <w:p w14:paraId="0CD7138B">
      <w:pPr>
        <w:rPr>
          <w:rFonts w:hint="default" w:hAnsi="Times New Roman" w:cs="Times New Roman"/>
          <w:color w:val="000000"/>
          <w:sz w:val="21"/>
          <w:szCs w:val="21"/>
          <w:lang w:val="en-US" w:eastAsia="zh-CN"/>
        </w:rPr>
      </w:pPr>
      <w:r>
        <w:rPr>
          <w:rFonts w:hint="default" w:hAnsi="Times New Roman" w:cs="Times New Roman"/>
          <w:color w:val="000000"/>
          <w:sz w:val="21"/>
          <w:szCs w:val="21"/>
          <w:lang w:val="en-US" w:eastAsia="zh-CN"/>
        </w:rPr>
        <w:br w:type="page"/>
      </w:r>
    </w:p>
    <w:p w14:paraId="2943B2A2">
      <w:pPr>
        <w:pStyle w:val="2"/>
        <w:rPr>
          <w:rFonts w:hint="default"/>
          <w:lang w:val="en-US" w:eastAsia="zh-CN"/>
        </w:rPr>
      </w:pPr>
      <w:bookmarkStart w:id="454" w:name="_Toc22218"/>
      <w:bookmarkStart w:id="455" w:name="_Toc9022"/>
      <w:bookmarkStart w:id="456" w:name="_Toc11702"/>
      <w:bookmarkStart w:id="457" w:name="_Toc29940"/>
      <w:bookmarkStart w:id="458" w:name="_Toc5206"/>
      <w:bookmarkStart w:id="459" w:name="_Toc11165"/>
      <w:bookmarkStart w:id="460" w:name="_Toc31669"/>
      <w:bookmarkStart w:id="461" w:name="_Toc8633"/>
      <w:bookmarkStart w:id="462" w:name="_Toc13126"/>
      <w:bookmarkStart w:id="463" w:name="_Toc10660"/>
      <w:bookmarkStart w:id="464" w:name="_Toc12532"/>
      <w:bookmarkStart w:id="465" w:name="_Toc28984"/>
      <w:bookmarkStart w:id="466" w:name="_Toc9153"/>
      <w:bookmarkStart w:id="467" w:name="_Toc10743"/>
      <w:bookmarkStart w:id="468" w:name="_Toc10285"/>
      <w:bookmarkStart w:id="469" w:name="_Toc3510"/>
      <w:r>
        <w:rPr>
          <w:rFonts w:hint="default"/>
          <w:lang w:val="en-US" w:eastAsia="zh-CN"/>
        </w:rPr>
        <w:t>6 仿真试验</w:t>
      </w:r>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p>
    <w:p w14:paraId="26E5AEFD">
      <w:pPr>
        <w:pStyle w:val="3"/>
        <w:rPr>
          <w:rFonts w:hint="default"/>
          <w:lang w:val="en-US" w:eastAsia="zh-CN"/>
        </w:rPr>
      </w:pPr>
      <w:bookmarkStart w:id="470" w:name="_Toc28351"/>
      <w:bookmarkStart w:id="471" w:name="_Toc2074"/>
      <w:bookmarkStart w:id="472" w:name="_Toc7671"/>
      <w:bookmarkStart w:id="473" w:name="_Toc11799"/>
      <w:bookmarkStart w:id="474" w:name="_Toc581"/>
      <w:bookmarkStart w:id="475" w:name="_Toc20292"/>
      <w:bookmarkStart w:id="476" w:name="_Toc1360"/>
      <w:bookmarkStart w:id="477" w:name="_Toc7332"/>
      <w:bookmarkStart w:id="478" w:name="_Toc27001"/>
      <w:bookmarkStart w:id="479" w:name="_Toc27858"/>
      <w:bookmarkStart w:id="480" w:name="_Toc2060"/>
      <w:bookmarkStart w:id="481" w:name="_Toc6781"/>
      <w:bookmarkStart w:id="482" w:name="_Toc26506"/>
      <w:bookmarkStart w:id="483" w:name="_Toc13667"/>
      <w:bookmarkStart w:id="484" w:name="_Toc5355"/>
      <w:bookmarkStart w:id="485" w:name="_Toc5388"/>
      <w:r>
        <w:rPr>
          <w:rFonts w:hint="default"/>
          <w:lang w:val="en-US" w:eastAsia="zh-CN"/>
        </w:rPr>
        <w:t>6.1 概述</w:t>
      </w:r>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p>
    <w:p w14:paraId="3D3EA283">
      <w:pPr>
        <w:outlineLvl w:val="2"/>
        <w:rPr>
          <w:rFonts w:hint="default" w:ascii="Times New Roman" w:hAnsi="Times New Roman" w:eastAsia="宋体"/>
          <w:color w:val="000000"/>
          <w:sz w:val="21"/>
          <w:szCs w:val="21"/>
          <w:lang w:val="en-US" w:eastAsia="zh-CN"/>
        </w:rPr>
      </w:pPr>
      <w:bookmarkStart w:id="486" w:name="_Toc4820"/>
      <w:r>
        <w:rPr>
          <w:rFonts w:hint="default" w:ascii="Times New Roman" w:hAnsi="Times New Roman" w:eastAsia="宋体"/>
          <w:color w:val="000000"/>
          <w:sz w:val="21"/>
          <w:szCs w:val="21"/>
          <w:lang w:val="en-US" w:eastAsia="zh-CN"/>
        </w:rPr>
        <w:t>6.1.1 仿真试验宜包括直流控制保护功能试验和动态性能试验、阀控功能性能试验等内容。</w:t>
      </w:r>
      <w:bookmarkEnd w:id="486"/>
    </w:p>
    <w:p w14:paraId="4F41FD50">
      <w:pPr>
        <w:pStyle w:val="3"/>
        <w:rPr>
          <w:rFonts w:hint="default"/>
          <w:lang w:val="en-US" w:eastAsia="zh-CN"/>
        </w:rPr>
      </w:pPr>
      <w:bookmarkStart w:id="487" w:name="_Toc4436"/>
      <w:bookmarkStart w:id="488" w:name="_Toc15805"/>
      <w:bookmarkStart w:id="489" w:name="_Toc3425"/>
      <w:bookmarkStart w:id="490" w:name="_Toc2267"/>
      <w:bookmarkStart w:id="491" w:name="_Toc27597"/>
      <w:bookmarkStart w:id="492" w:name="_Toc11738"/>
      <w:bookmarkStart w:id="493" w:name="_Toc9919"/>
      <w:bookmarkStart w:id="494" w:name="_Toc7653"/>
      <w:bookmarkStart w:id="495" w:name="_Toc21739"/>
      <w:bookmarkStart w:id="496" w:name="_Toc24286"/>
      <w:bookmarkStart w:id="497" w:name="_Toc6777"/>
      <w:bookmarkStart w:id="498" w:name="_Toc32129"/>
      <w:bookmarkStart w:id="499" w:name="_Toc21862"/>
      <w:bookmarkStart w:id="500" w:name="_Toc4842"/>
      <w:bookmarkStart w:id="501" w:name="_Toc21282"/>
      <w:bookmarkStart w:id="502" w:name="_Toc22903"/>
      <w:r>
        <w:rPr>
          <w:rFonts w:hint="default"/>
          <w:lang w:val="en-US" w:eastAsia="zh-CN"/>
        </w:rPr>
        <w:t>6.2 直流控制保护功能试验</w:t>
      </w:r>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p>
    <w:p w14:paraId="5DC7D99A">
      <w:pPr>
        <w:outlineLvl w:val="2"/>
        <w:rPr>
          <w:rFonts w:hint="default" w:ascii="Times New Roman" w:hAnsi="Times New Roman" w:eastAsia="宋体"/>
          <w:color w:val="000000"/>
          <w:sz w:val="21"/>
          <w:szCs w:val="21"/>
          <w:lang w:val="en-US" w:eastAsia="zh-CN"/>
        </w:rPr>
      </w:pPr>
      <w:bookmarkStart w:id="503" w:name="_Toc1197"/>
      <w:r>
        <w:rPr>
          <w:rFonts w:hint="default" w:ascii="Times New Roman" w:hAnsi="Times New Roman" w:eastAsia="宋体"/>
          <w:color w:val="000000"/>
          <w:sz w:val="21"/>
          <w:szCs w:val="21"/>
          <w:lang w:val="en-US" w:eastAsia="zh-CN"/>
        </w:rPr>
        <w:t>6.2.1 应建立包含直流工程实际供货的直流控制保护设备、实时数字仿真器及仿真接口设备的硬件在环仿真系统，开展直流控制保护系统的功能试验。</w:t>
      </w:r>
      <w:bookmarkEnd w:id="503"/>
    </w:p>
    <w:p w14:paraId="2677C2FA">
      <w:pPr>
        <w:outlineLvl w:val="2"/>
        <w:rPr>
          <w:rFonts w:hint="default" w:ascii="Times New Roman" w:hAnsi="Times New Roman" w:eastAsia="宋体"/>
          <w:color w:val="000000"/>
          <w:sz w:val="21"/>
          <w:szCs w:val="21"/>
          <w:lang w:val="en-US" w:eastAsia="zh-CN"/>
        </w:rPr>
      </w:pPr>
      <w:bookmarkStart w:id="504" w:name="_Toc32361"/>
      <w:r>
        <w:rPr>
          <w:rFonts w:hint="default" w:ascii="Times New Roman" w:hAnsi="Times New Roman" w:eastAsia="宋体"/>
          <w:color w:val="000000"/>
          <w:sz w:val="21"/>
          <w:szCs w:val="21"/>
          <w:lang w:val="en-US" w:eastAsia="zh-CN"/>
        </w:rPr>
        <w:t>6.2.2 应根据直流工程一次主接线回路及设备实测或设计参数建立直流工程实时仿真模型，其中交流系统可采用投运年份的等值阻抗数据建模；对于新能源经直流送出系统，送端新能源模型可根据仿真器资源情况，建立等值倍乘模型或尽量详细的仿真模型。</w:t>
      </w:r>
      <w:bookmarkEnd w:id="504"/>
    </w:p>
    <w:p w14:paraId="16371F91">
      <w:pPr>
        <w:outlineLvl w:val="2"/>
        <w:rPr>
          <w:rFonts w:hint="default" w:ascii="Times New Roman" w:hAnsi="Times New Roman" w:eastAsia="宋体"/>
          <w:color w:val="000000"/>
          <w:sz w:val="21"/>
          <w:szCs w:val="21"/>
          <w:lang w:val="en-US" w:eastAsia="zh-CN"/>
        </w:rPr>
      </w:pPr>
      <w:bookmarkStart w:id="505" w:name="_Toc29935"/>
      <w:r>
        <w:rPr>
          <w:rFonts w:hint="default" w:ascii="Times New Roman" w:hAnsi="Times New Roman" w:eastAsia="宋体"/>
          <w:color w:val="000000"/>
          <w:sz w:val="21"/>
          <w:szCs w:val="21"/>
          <w:lang w:val="en-US" w:eastAsia="zh-CN"/>
        </w:rPr>
        <w:t>6.2.3 接入直流控制保护功能硬件在环试验系统的直流控制保护设备，应包括但不少于：与工程实际一致的含冗余的直流控制系统、测量系统及接口设备、直流保护系统、直流阀控系统、直流耗能阀控系统（如有）、直流场接口设备、SCADA系统及服务器、通讯接口等设备。其中，柔性直流阀控系统宜将脉冲分配设备接入仿真系统，测量系统应尽量与实际现场保持一致，并配置相应的仿真接口板卡设备。对于新能源经直流送出系统，不同型号的新能源变流器设备宜采用硬件在环方式接入仿真系统，宜建立变流器链接库仿真模型，拓展仿真规模。</w:t>
      </w:r>
      <w:bookmarkEnd w:id="505"/>
    </w:p>
    <w:p w14:paraId="261EBADE">
      <w:pPr>
        <w:outlineLvl w:val="9"/>
        <w:rPr>
          <w:rFonts w:hint="default" w:ascii="Times New Roman" w:hAnsi="Times New Roman" w:eastAsia="宋体"/>
          <w:sz w:val="21"/>
          <w:szCs w:val="21"/>
          <w:lang w:val="en-US" w:eastAsia="zh-CN"/>
        </w:rPr>
      </w:pPr>
      <w:bookmarkStart w:id="506" w:name="_Toc13983"/>
      <w:r>
        <w:rPr>
          <w:rFonts w:hint="default" w:ascii="Times New Roman" w:hAnsi="Times New Roman" w:eastAsia="宋体"/>
          <w:sz w:val="21"/>
          <w:szCs w:val="21"/>
          <w:lang w:val="en-US" w:eastAsia="zh-CN"/>
        </w:rPr>
        <w:t>6.2.4 接入直流控制保护系统功能试验的具体试验项目设计，应根据直流工程控制保护系统特点及功能设计要求，设计正向验证功能的正向性试验项目以及预防性试验项目。测试大组应包括但不少于：顺序控制、换流器充电、空载加压试验、解锁/闭锁试验、控制模式切换、无功控制、稳态运行、功率升降、通信故障、交直流场信号异常、测量异常、交流故障、跳闸试验、直流故障、冗余系统故障、系统监视与切换等。</w:t>
      </w:r>
      <w:bookmarkEnd w:id="506"/>
    </w:p>
    <w:p w14:paraId="0F4629AC">
      <w:pPr>
        <w:pStyle w:val="3"/>
        <w:rPr>
          <w:rFonts w:hint="default"/>
          <w:lang w:val="en-US" w:eastAsia="zh-CN"/>
        </w:rPr>
      </w:pPr>
      <w:bookmarkStart w:id="507" w:name="_Toc11494"/>
      <w:bookmarkStart w:id="508" w:name="_Toc8760"/>
      <w:bookmarkStart w:id="509" w:name="_Toc20922"/>
      <w:bookmarkStart w:id="510" w:name="_Toc15651"/>
      <w:bookmarkStart w:id="511" w:name="_Toc3942"/>
      <w:bookmarkStart w:id="512" w:name="_Toc25140"/>
      <w:bookmarkStart w:id="513" w:name="_Toc25255"/>
      <w:bookmarkStart w:id="514" w:name="_Toc20596"/>
      <w:bookmarkStart w:id="515" w:name="_Toc3372"/>
      <w:bookmarkStart w:id="516" w:name="_Toc2779"/>
      <w:bookmarkStart w:id="517" w:name="_Toc18440"/>
      <w:bookmarkStart w:id="518" w:name="_Toc15440"/>
      <w:bookmarkStart w:id="519" w:name="_Toc11540"/>
      <w:bookmarkStart w:id="520" w:name="_Toc4319"/>
      <w:bookmarkStart w:id="521" w:name="_Toc22854"/>
      <w:r>
        <w:rPr>
          <w:rFonts w:hint="default"/>
          <w:lang w:val="en-US" w:eastAsia="zh-CN"/>
        </w:rPr>
        <w:t>6.</w:t>
      </w:r>
      <w:r>
        <w:rPr>
          <w:rFonts w:hint="eastAsia"/>
          <w:lang w:val="en-US" w:eastAsia="zh-CN"/>
        </w:rPr>
        <w:t>3</w:t>
      </w:r>
      <w:r>
        <w:rPr>
          <w:rFonts w:hint="default"/>
          <w:lang w:val="en-US" w:eastAsia="zh-CN"/>
        </w:rPr>
        <w:t xml:space="preserve"> 直流控制保护动态性能试验</w:t>
      </w:r>
      <w:bookmarkEnd w:id="507"/>
      <w:bookmarkEnd w:id="508"/>
    </w:p>
    <w:bookmarkEnd w:id="509"/>
    <w:bookmarkEnd w:id="510"/>
    <w:bookmarkEnd w:id="511"/>
    <w:bookmarkEnd w:id="512"/>
    <w:bookmarkEnd w:id="513"/>
    <w:bookmarkEnd w:id="514"/>
    <w:bookmarkEnd w:id="515"/>
    <w:bookmarkEnd w:id="516"/>
    <w:bookmarkEnd w:id="517"/>
    <w:bookmarkEnd w:id="518"/>
    <w:bookmarkEnd w:id="519"/>
    <w:bookmarkEnd w:id="520"/>
    <w:bookmarkEnd w:id="521"/>
    <w:p w14:paraId="205D7305">
      <w:pPr>
        <w:outlineLvl w:val="2"/>
        <w:rPr>
          <w:rFonts w:hint="default" w:ascii="Times New Roman" w:hAnsi="Times New Roman" w:eastAsia="宋体"/>
          <w:sz w:val="21"/>
          <w:szCs w:val="21"/>
          <w:lang w:val="en-US" w:eastAsia="zh-CN"/>
        </w:rPr>
      </w:pPr>
      <w:bookmarkStart w:id="522" w:name="_Toc14903"/>
      <w:r>
        <w:rPr>
          <w:rFonts w:hint="default" w:ascii="Times New Roman" w:hAnsi="Times New Roman" w:eastAsia="宋体"/>
          <w:sz w:val="21"/>
          <w:szCs w:val="21"/>
          <w:lang w:val="en-US" w:eastAsia="zh-CN"/>
        </w:rPr>
        <w:t>6.3.1 应建立包含直流工程直流控制保护设备、实时数字仿真器及仿真接口设备的硬件在环仿真系统，开展直流控制保护系统的动态性能试验。</w:t>
      </w:r>
      <w:bookmarkEnd w:id="522"/>
    </w:p>
    <w:p w14:paraId="168124DA">
      <w:pPr>
        <w:outlineLvl w:val="2"/>
        <w:rPr>
          <w:rFonts w:hint="default" w:ascii="Times New Roman" w:hAnsi="Times New Roman" w:eastAsia="宋体"/>
          <w:sz w:val="21"/>
          <w:szCs w:val="21"/>
          <w:highlight w:val="cyan"/>
          <w:lang w:val="en-US" w:eastAsia="zh-CN"/>
        </w:rPr>
      </w:pPr>
      <w:bookmarkStart w:id="523" w:name="_Toc6997"/>
      <w:r>
        <w:rPr>
          <w:rFonts w:hint="default" w:ascii="Times New Roman" w:hAnsi="Times New Roman" w:eastAsia="宋体"/>
          <w:sz w:val="21"/>
          <w:szCs w:val="21"/>
          <w:lang w:val="en-US" w:eastAsia="zh-CN"/>
        </w:rPr>
        <w:t>6.3.2 应根据直流工程一次主接线回路及设备实测或设计参数建立直流工程实时仿真模型，应根据直流工程一次主接线回路及设备实测或设计参数建立直流工程实时仿真模型，其中交流系统可采用投运年份的等值阻抗数据建模，宜根据仿真设备资源建立等效的电网模型，以及与新建直流电气距离较近的在运直流或大容量无功补偿设备等；对于新能源经</w:t>
      </w:r>
      <w:r>
        <w:rPr>
          <w:rFonts w:hint="default" w:ascii="Times New Roman" w:hAnsi="Times New Roman" w:eastAsia="宋体"/>
          <w:sz w:val="21"/>
          <w:szCs w:val="21"/>
          <w:highlight w:val="none"/>
          <w:lang w:val="en-US" w:eastAsia="zh-CN"/>
        </w:rPr>
        <w:t>直流送出系统，送端新能源模型可根据仿真器资源情况，建立等值倍乘模型或详细的仿真模型</w:t>
      </w:r>
      <w:r>
        <w:rPr>
          <w:rFonts w:hint="default" w:ascii="Times New Roman" w:hAnsi="Times New Roman" w:eastAsia="宋体"/>
          <w:sz w:val="21"/>
          <w:szCs w:val="21"/>
          <w:highlight w:val="none"/>
          <w:lang w:val="en-US" w:eastAsia="zh-CN"/>
        </w:rPr>
        <w:t>。</w:t>
      </w:r>
      <w:bookmarkEnd w:id="523"/>
    </w:p>
    <w:p w14:paraId="44E3772B">
      <w:pPr>
        <w:outlineLvl w:val="2"/>
        <w:rPr>
          <w:rFonts w:hint="default" w:ascii="Times New Roman" w:hAnsi="Times New Roman" w:eastAsia="宋体"/>
          <w:sz w:val="21"/>
          <w:szCs w:val="21"/>
          <w:lang w:val="en-US" w:eastAsia="zh-CN"/>
        </w:rPr>
      </w:pPr>
      <w:bookmarkStart w:id="524" w:name="_Toc4153"/>
      <w:r>
        <w:rPr>
          <w:rFonts w:hint="default" w:ascii="Times New Roman" w:hAnsi="Times New Roman" w:eastAsia="宋体"/>
          <w:sz w:val="21"/>
          <w:szCs w:val="21"/>
          <w:lang w:val="en-US" w:eastAsia="zh-CN"/>
        </w:rPr>
        <w:t>6.3.3 接入直流控制保护动态性能硬件在环试验系统的直流控制保护设备，应包括但不少于：与工程功能一致的直流控制系统、测量系统及接口设备、直流保护系统、直流阀控系统、直流耗能阀控系统（如有）、直流场接口设备、SCADA系统及服务器、通讯接口等设备。其中，直流控制及测量系统，可根据实际情况，不配置冗余系统设备；柔性直流阀控系统宜将脉冲分配设备接入仿真系统，测量系统宜尽量与实际现场保持一致，并配置相应的仿真接口板卡设备。对于新能源经直流送出系统，不同型号的新能源变流器设备宜采用硬件在环方式接入仿真系统，宜建立变流器链接库仿真模型，拓展仿真规模。</w:t>
      </w:r>
      <w:bookmarkEnd w:id="524"/>
    </w:p>
    <w:p w14:paraId="18E94B79">
      <w:pPr>
        <w:outlineLvl w:val="2"/>
        <w:rPr>
          <w:rFonts w:hint="default" w:ascii="Times New Roman" w:hAnsi="Times New Roman" w:eastAsia="宋体"/>
          <w:szCs w:val="21"/>
          <w:lang w:val="en-US" w:eastAsia="zh-CN"/>
        </w:rPr>
      </w:pPr>
      <w:bookmarkStart w:id="525" w:name="_Toc20099"/>
      <w:r>
        <w:rPr>
          <w:rFonts w:hint="default" w:ascii="Times New Roman" w:hAnsi="Times New Roman" w:eastAsia="宋体"/>
          <w:szCs w:val="21"/>
          <w:lang w:val="en-US" w:eastAsia="zh-CN"/>
        </w:rPr>
        <w:t>6.3.4 接入直流控制保护系统动态性能试验的具体试验项目设计，应根据直流工程控制保护系统特点及功能设计要求，测试大组应包括但不少于：功率阶跃响应、电流阶跃响应、直流电压阶跃响应、附加控制功能、交流故障、直流故障等。</w:t>
      </w:r>
      <w:bookmarkEnd w:id="525"/>
    </w:p>
    <w:p w14:paraId="3C141528">
      <w:pPr>
        <w:pStyle w:val="3"/>
        <w:rPr>
          <w:rFonts w:hint="default"/>
          <w:lang w:val="en-US" w:eastAsia="zh-CN"/>
        </w:rPr>
      </w:pPr>
      <w:bookmarkStart w:id="526" w:name="_Toc17582"/>
      <w:bookmarkStart w:id="527" w:name="_Toc29201"/>
      <w:bookmarkStart w:id="528" w:name="_Toc10343"/>
      <w:bookmarkStart w:id="529" w:name="_Toc9840"/>
      <w:bookmarkStart w:id="530" w:name="_Toc21579"/>
      <w:bookmarkStart w:id="531" w:name="_Toc30278"/>
      <w:bookmarkStart w:id="532" w:name="_Toc11894"/>
      <w:bookmarkStart w:id="533" w:name="_Toc1417"/>
      <w:bookmarkStart w:id="534" w:name="_Toc19377"/>
      <w:bookmarkStart w:id="535" w:name="_Toc22362"/>
      <w:bookmarkStart w:id="536" w:name="_Toc17649"/>
      <w:bookmarkStart w:id="537" w:name="_Toc24952"/>
      <w:bookmarkStart w:id="538" w:name="_Toc14045"/>
      <w:bookmarkStart w:id="539" w:name="_Toc19137"/>
      <w:bookmarkStart w:id="540" w:name="_Toc21120"/>
      <w:bookmarkStart w:id="541" w:name="_Toc27823"/>
      <w:r>
        <w:rPr>
          <w:rFonts w:hint="default"/>
          <w:lang w:val="en-US" w:eastAsia="zh-CN"/>
        </w:rPr>
        <w:t>6.4 阀控功能性能试验</w:t>
      </w:r>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p>
    <w:p w14:paraId="5299C91D">
      <w:pPr>
        <w:outlineLvl w:val="2"/>
        <w:rPr>
          <w:rFonts w:hint="default" w:ascii="Times New Roman" w:hAnsi="Times New Roman" w:eastAsia="宋体"/>
          <w:color w:val="000000"/>
          <w:sz w:val="21"/>
          <w:szCs w:val="21"/>
          <w:lang w:val="en-US" w:eastAsia="zh-CN"/>
        </w:rPr>
      </w:pPr>
      <w:bookmarkStart w:id="542" w:name="_Toc16181"/>
      <w:r>
        <w:rPr>
          <w:rFonts w:hint="default" w:ascii="Times New Roman" w:hAnsi="Times New Roman" w:eastAsia="宋体"/>
          <w:color w:val="000000"/>
          <w:sz w:val="21"/>
          <w:szCs w:val="21"/>
          <w:lang w:val="en-US" w:eastAsia="zh-CN"/>
        </w:rPr>
        <w:t>6.4.1 应建立包含直流工程柔性直流阀控系统、换流器控制装置、实时数字仿真器、功率模块特性模拟及仿真接口设备的硬件在环仿真系统，开展柔性直流阀控系统的功能性能试验。</w:t>
      </w:r>
      <w:bookmarkEnd w:id="542"/>
    </w:p>
    <w:p w14:paraId="17F32E33">
      <w:pPr>
        <w:outlineLvl w:val="2"/>
        <w:rPr>
          <w:rFonts w:hint="default" w:ascii="Times New Roman" w:hAnsi="Times New Roman" w:eastAsia="宋体"/>
          <w:color w:val="000000"/>
          <w:sz w:val="21"/>
          <w:szCs w:val="21"/>
          <w:highlight w:val="cyan"/>
          <w:lang w:val="en-US" w:eastAsia="zh-CN"/>
        </w:rPr>
      </w:pPr>
      <w:bookmarkStart w:id="543" w:name="_Toc10733"/>
      <w:r>
        <w:rPr>
          <w:rFonts w:hint="default" w:ascii="Times New Roman" w:hAnsi="Times New Roman" w:eastAsia="宋体"/>
          <w:color w:val="000000"/>
          <w:sz w:val="21"/>
          <w:szCs w:val="21"/>
          <w:lang w:val="en-US" w:eastAsia="zh-CN"/>
        </w:rPr>
        <w:t xml:space="preserve">6.4.2 </w:t>
      </w:r>
      <w:r>
        <w:rPr>
          <w:rFonts w:hint="default" w:ascii="Times New Roman" w:hAnsi="Times New Roman" w:eastAsia="宋体"/>
          <w:color w:val="000000"/>
          <w:sz w:val="21"/>
          <w:szCs w:val="21"/>
          <w:highlight w:val="none"/>
          <w:lang w:val="en-US" w:eastAsia="zh-CN"/>
        </w:rPr>
        <w:t>应根据直流工程一次主接线回路及设备实测或设计参数建立直流工程实时仿真模型，其中交流系统可采用投运年份的等值阻抗数据建模；对于新能源经直流送出系统，送端新能源模型可根据仿真器资源情况，建立等值倍乘模型</w:t>
      </w:r>
      <w:bookmarkEnd w:id="543"/>
      <w:bookmarkStart w:id="559" w:name="_GoBack"/>
      <w:bookmarkEnd w:id="559"/>
      <w:r>
        <w:rPr>
          <w:rFonts w:hint="eastAsia"/>
          <w:color w:val="000000"/>
          <w:sz w:val="21"/>
          <w:szCs w:val="21"/>
          <w:highlight w:val="none"/>
          <w:lang w:val="en-US" w:eastAsia="zh-CN"/>
        </w:rPr>
        <w:t>。</w:t>
      </w:r>
    </w:p>
    <w:p w14:paraId="2118CF4A">
      <w:pPr>
        <w:outlineLvl w:val="2"/>
        <w:rPr>
          <w:rFonts w:hint="default" w:ascii="Times New Roman" w:hAnsi="Times New Roman" w:eastAsia="宋体"/>
          <w:color w:val="000000"/>
          <w:sz w:val="21"/>
          <w:szCs w:val="21"/>
          <w:lang w:val="en-US" w:eastAsia="zh-CN"/>
        </w:rPr>
      </w:pPr>
      <w:bookmarkStart w:id="544" w:name="_Toc18090"/>
      <w:r>
        <w:rPr>
          <w:rFonts w:hint="default" w:ascii="Times New Roman" w:hAnsi="Times New Roman" w:eastAsia="宋体"/>
          <w:color w:val="000000"/>
          <w:sz w:val="21"/>
          <w:szCs w:val="21"/>
          <w:lang w:val="en-US" w:eastAsia="zh-CN"/>
        </w:rPr>
        <w:t>6.4.3 接入阀控功能性能硬件在环试验系统的柔性直流阀控系统设备，应包括但不少于：与工程现场完全一致的A套柔直阀控主控屏柜、B套柔直阀控主控屏柜、辅助功能屏柜、6个桥臂的全部脉冲分配屏柜、互为冗余的2套远程上下电控制屏柜（如有）、智能运维子系统屏柜（如有）。</w:t>
      </w:r>
      <w:bookmarkEnd w:id="544"/>
    </w:p>
    <w:p w14:paraId="17661F94">
      <w:pPr>
        <w:outlineLvl w:val="2"/>
        <w:rPr>
          <w:rFonts w:hint="default" w:ascii="Times New Roman" w:hAnsi="Times New Roman" w:eastAsia="宋体"/>
          <w:color w:val="000000"/>
          <w:sz w:val="21"/>
          <w:szCs w:val="21"/>
          <w:lang w:val="en-US" w:eastAsia="zh-CN"/>
        </w:rPr>
      </w:pPr>
      <w:bookmarkStart w:id="545" w:name="_Toc5041"/>
      <w:r>
        <w:rPr>
          <w:rFonts w:hint="default" w:ascii="Times New Roman" w:hAnsi="Times New Roman" w:eastAsia="宋体"/>
          <w:color w:val="000000"/>
          <w:sz w:val="21"/>
          <w:szCs w:val="21"/>
          <w:lang w:val="en-US" w:eastAsia="zh-CN"/>
        </w:rPr>
        <w:t>6.4.4 柔性直流阀控系统功能性能试验的具体试验项目设计，应根据柔性直流阀控系统特点及功能设计要求，设计正向验证功能的正向性试验项目；宜根据以往工程运行经验，设计预防性试验项目。功能测试大组应包括但不少于：换流阀充电解闭锁及启动过程自检功能检验、功率模块均压功能检验、阀控保护功能检验、阀控装置的物理链路冗余功能检验、环流控制、模块冗余控制功能检验、功率模块故障检测识别及处理策略、阀控三项链路延时测试、阀控冗余切换试验、黑模块比对功能等。</w:t>
      </w:r>
      <w:bookmarkEnd w:id="545"/>
    </w:p>
    <w:p w14:paraId="7BB453B1">
      <w:pPr>
        <w:pStyle w:val="3"/>
        <w:rPr>
          <w:rFonts w:hint="default"/>
          <w:lang w:val="en-US" w:eastAsia="zh-CN"/>
        </w:rPr>
      </w:pPr>
      <w:bookmarkStart w:id="546" w:name="_Toc4585"/>
      <w:bookmarkStart w:id="547" w:name="_Toc13101"/>
      <w:bookmarkStart w:id="548" w:name="_Toc13439"/>
      <w:bookmarkStart w:id="549" w:name="_Toc18972"/>
      <w:bookmarkStart w:id="550" w:name="_Toc31068"/>
      <w:bookmarkStart w:id="551" w:name="_Toc6767"/>
      <w:bookmarkStart w:id="552" w:name="_Toc30667"/>
      <w:bookmarkStart w:id="553" w:name="_Toc21776"/>
      <w:bookmarkStart w:id="554" w:name="_Toc13095"/>
      <w:bookmarkStart w:id="555" w:name="_Toc16235"/>
      <w:bookmarkStart w:id="556" w:name="_Toc27808"/>
      <w:r>
        <w:rPr>
          <w:rFonts w:hint="default"/>
          <w:lang w:val="en-US" w:eastAsia="zh-CN"/>
        </w:rPr>
        <w:t>6.5 试验报告要求</w:t>
      </w:r>
      <w:bookmarkEnd w:id="546"/>
      <w:bookmarkEnd w:id="547"/>
      <w:bookmarkEnd w:id="548"/>
      <w:bookmarkEnd w:id="549"/>
      <w:bookmarkEnd w:id="550"/>
      <w:bookmarkEnd w:id="551"/>
      <w:bookmarkEnd w:id="552"/>
      <w:bookmarkEnd w:id="553"/>
      <w:bookmarkEnd w:id="554"/>
      <w:bookmarkEnd w:id="555"/>
      <w:bookmarkEnd w:id="556"/>
    </w:p>
    <w:p w14:paraId="15EBBCFA">
      <w:pPr>
        <w:outlineLvl w:val="2"/>
        <w:rPr>
          <w:rFonts w:hint="default" w:ascii="Times New Roman" w:hAnsi="Times New Roman" w:eastAsia="宋体"/>
          <w:color w:val="000000"/>
          <w:sz w:val="21"/>
          <w:szCs w:val="21"/>
        </w:rPr>
      </w:pPr>
      <w:bookmarkStart w:id="557" w:name="_Toc8457"/>
      <w:r>
        <w:rPr>
          <w:rFonts w:hint="default" w:ascii="Times New Roman" w:hAnsi="Times New Roman" w:eastAsia="宋体"/>
          <w:color w:val="000000"/>
          <w:sz w:val="21"/>
          <w:szCs w:val="21"/>
          <w:lang w:eastAsia="zh-CN"/>
        </w:rPr>
        <w:t>6</w:t>
      </w:r>
      <w:r>
        <w:rPr>
          <w:rFonts w:hint="default" w:ascii="Times New Roman" w:hAnsi="Times New Roman" w:eastAsia="宋体"/>
          <w:color w:val="000000"/>
          <w:sz w:val="21"/>
          <w:szCs w:val="21"/>
          <w:lang w:val="en-US" w:eastAsia="zh-CN"/>
        </w:rPr>
        <w:t>.5</w:t>
      </w:r>
      <w:r>
        <w:rPr>
          <w:rFonts w:hint="default" w:ascii="Times New Roman" w:hAnsi="Times New Roman" w:eastAsia="宋体"/>
          <w:color w:val="000000"/>
          <w:sz w:val="21"/>
          <w:szCs w:val="21"/>
        </w:rPr>
        <w:t>.1 试验报告应说明试验目的、试验步骤、试验初态和末态、典型波形、典型事件记录及试验结论。</w:t>
      </w:r>
      <w:bookmarkEnd w:id="557"/>
    </w:p>
    <w:p w14:paraId="2E565433">
      <w:pPr>
        <w:outlineLvl w:val="2"/>
        <w:rPr>
          <w:rFonts w:hint="default" w:ascii="Times New Roman" w:hAnsi="Times New Roman" w:eastAsia="宋体"/>
          <w:color w:val="000000"/>
          <w:sz w:val="21"/>
          <w:szCs w:val="21"/>
          <w:lang w:val="en-US" w:eastAsia="zh-CN"/>
        </w:rPr>
      </w:pPr>
      <w:bookmarkStart w:id="558" w:name="_Toc12431"/>
      <w:r>
        <w:rPr>
          <w:rFonts w:hint="default" w:ascii="Times New Roman" w:hAnsi="Times New Roman" w:eastAsia="宋体"/>
          <w:color w:val="000000"/>
          <w:sz w:val="21"/>
          <w:szCs w:val="21"/>
          <w:lang w:eastAsia="zh-CN"/>
        </w:rPr>
        <w:t>6</w:t>
      </w:r>
      <w:r>
        <w:rPr>
          <w:rFonts w:hint="default" w:ascii="Times New Roman" w:hAnsi="Times New Roman" w:eastAsia="宋体"/>
          <w:color w:val="000000"/>
          <w:sz w:val="21"/>
          <w:szCs w:val="21"/>
          <w:lang w:val="en-US" w:eastAsia="zh-CN"/>
        </w:rPr>
        <w:t>.5</w:t>
      </w:r>
      <w:r>
        <w:rPr>
          <w:rFonts w:hint="default" w:ascii="Times New Roman" w:hAnsi="Times New Roman" w:eastAsia="宋体"/>
          <w:color w:val="000000"/>
          <w:sz w:val="21"/>
          <w:szCs w:val="21"/>
        </w:rPr>
        <w:t>.2 试验过程中发现的问题应附完整的问题清单，涉及整改的项目应形成专题分析材料。</w:t>
      </w:r>
      <w:bookmarkEnd w:id="558"/>
    </w:p>
    <w:sectPr>
      <w:footerReference r:id="rId10" w:type="default"/>
      <w:pgSz w:w="11906" w:h="16838"/>
      <w:pgMar w:top="1440" w:right="1800" w:bottom="1440" w:left="1800" w:header="851" w:footer="992" w:gutter="0"/>
      <w:pgNumType w:fmt="decimal" w:start="1"/>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auto"/>
    <w:pitch w:val="default"/>
    <w:sig w:usb0="E0002EFF" w:usb1="C000785B" w:usb2="00000009" w:usb3="00000000" w:csb0="400001FF" w:csb1="FFFF0000"/>
  </w:font>
  <w:font w:name="宋体">
    <w:panose1 w:val="02010600030101010101"/>
    <w:charset w:val="8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2ACE8E">
    <w:pPr>
      <w:pStyle w:val="8"/>
    </w:pPr>
    <w:r>
      <w:rPr>
        <w:rFonts w:hint="eastAsia"/>
      </w:rPr>
      <w:tab/>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DF3BFD">
    <w:pPr>
      <w:pStyle w:val="8"/>
      <w:tabs>
        <w:tab w:val="left" w:pos="5985"/>
        <w:tab w:val="clear" w:pos="4153"/>
        <w:tab w:val="clear" w:pos="8306"/>
      </w:tabs>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9C5C28">
    <w:pPr>
      <w:pStyle w:val="8"/>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83BF33">
    <w:pPr>
      <w:pStyle w:val="8"/>
      <w:jc w:val="cente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1" name="文本框 1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FE58196">
                          <w:pPr>
                            <w:pStyle w:val="8"/>
                          </w:pPr>
                          <w:r>
                            <w:fldChar w:fldCharType="begin"/>
                          </w:r>
                          <w:r>
                            <w:instrText xml:space="preserve"> PAGE  \* MERGEFORMAT </w:instrText>
                          </w:r>
                          <w:r>
                            <w:fldChar w:fldCharType="separate"/>
                          </w:r>
                          <w:r>
                            <w:t>III</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rADh6MQIAAGMEAAAOAAAAAAAAAAEAIAAAAB8BAABkcnMvZTJvRG9jLnhtbFBLBQYA&#10;AAAABgAGAFkBAADCBQAAAAA=&#10;">
              <v:fill on="f" focussize="0,0"/>
              <v:stroke on="f" weight="0.5pt"/>
              <v:imagedata o:title=""/>
              <o:lock v:ext="edit" aspectratio="f"/>
              <v:textbox inset="0mm,0mm,0mm,0mm" style="mso-fit-shape-to-text:t;">
                <w:txbxContent>
                  <w:p w14:paraId="4FE58196">
                    <w:pPr>
                      <w:pStyle w:val="8"/>
                    </w:pPr>
                    <w:r>
                      <w:fldChar w:fldCharType="begin"/>
                    </w:r>
                    <w:r>
                      <w:instrText xml:space="preserve"> PAGE  \* MERGEFORMAT </w:instrText>
                    </w:r>
                    <w:r>
                      <w:fldChar w:fldCharType="separate"/>
                    </w:r>
                    <w:r>
                      <w:t>III</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pPr>
      <w:r>
        <w:separator/>
      </w:r>
    </w:p>
  </w:footnote>
  <w:footnote w:type="continuationSeparator" w:id="1">
    <w:p>
      <w:pPr>
        <w:spacing w:line="36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43C7B6">
    <w:pPr>
      <w:pStyle w:val="9"/>
      <w:pBdr>
        <w:bottom w:val="none" w:color="auto" w:sz="0" w:space="0"/>
      </w:pBdr>
      <w:rPr>
        <w:szCs w:val="21"/>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FD3BCA">
    <w:pPr>
      <w:pStyle w:val="9"/>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10"/>
    <w:multiLevelType w:val="multilevel"/>
    <w:tmpl w:val="00000010"/>
    <w:lvl w:ilvl="0" w:tentative="0">
      <w:start w:val="1"/>
      <w:numFmt w:val="none"/>
      <w:pStyle w:val="27"/>
      <w:lvlText w:val="%1注"/>
      <w:lvlJc w:val="left"/>
      <w:pPr>
        <w:tabs>
          <w:tab w:val="left" w:pos="900"/>
        </w:tabs>
        <w:ind w:left="900" w:hanging="500"/>
      </w:pPr>
      <w:rPr>
        <w:rFonts w:hint="eastAsia" w:ascii="宋体" w:hAnsi="Times New Roman" w:eastAsia="宋体"/>
        <w:b w:val="0"/>
        <w:i w:val="0"/>
        <w:sz w:val="18"/>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
    <w:nsid w:val="1FC91163"/>
    <w:multiLevelType w:val="multilevel"/>
    <w:tmpl w:val="1FC91163"/>
    <w:lvl w:ilvl="0" w:tentative="0">
      <w:start w:val="1"/>
      <w:numFmt w:val="decimal"/>
      <w:suff w:val="nothing"/>
      <w:lvlText w:val="%1"/>
      <w:lvlJc w:val="left"/>
      <w:pPr>
        <w:ind w:left="426" w:firstLine="0"/>
      </w:pPr>
      <w:rPr>
        <w:rFonts w:ascii="Times New Roman" w:hAnsi="Times New Roman" w:eastAsia="宋体" w:cs="Times New Roman"/>
        <w:b w:val="0"/>
        <w:i w:val="0"/>
        <w:sz w:val="21"/>
        <w:szCs w:val="21"/>
      </w:rPr>
    </w:lvl>
    <w:lvl w:ilvl="1" w:tentative="0">
      <w:start w:val="1"/>
      <w:numFmt w:val="decimal"/>
      <w:pStyle w:val="22"/>
      <w:suff w:val="nothing"/>
      <w:lvlText w:val="%1.%2　"/>
      <w:lvlJc w:val="left"/>
      <w:pPr>
        <w:ind w:left="5387" w:firstLine="0"/>
      </w:pPr>
      <w:rPr>
        <w:rFonts w:hint="eastAsia" w:ascii="黑体" w:hAnsi="Times New Roman" w:eastAsia="黑体" w:cs="Times New Roman"/>
        <w:b w:val="0"/>
        <w:bCs w:val="0"/>
        <w:i w:val="0"/>
        <w:iCs w:val="0"/>
        <w:caps w:val="0"/>
        <w:strike w:val="0"/>
        <w:dstrike w:val="0"/>
        <w:vanish w:val="0"/>
        <w:color w:val="000000"/>
        <w:spacing w:val="0"/>
        <w:kern w:val="0"/>
        <w:position w:val="0"/>
        <w:sz w:val="21"/>
        <w:szCs w:val="21"/>
        <w:u w:val="none"/>
        <w:vertAlign w:val="baseline"/>
      </w:rPr>
    </w:lvl>
    <w:lvl w:ilvl="2" w:tentative="0">
      <w:start w:val="1"/>
      <w:numFmt w:val="decimal"/>
      <w:suff w:val="nothing"/>
      <w:lvlText w:val="%1.%2.%3　"/>
      <w:lvlJc w:val="left"/>
      <w:pPr>
        <w:ind w:left="710" w:firstLine="0"/>
      </w:pPr>
      <w:rPr>
        <w:rFonts w:hint="eastAsia" w:ascii="黑体" w:hAnsi="Times New Roman" w:eastAsia="黑体"/>
        <w:b w:val="0"/>
        <w:i w:val="0"/>
        <w:sz w:val="21"/>
      </w:rPr>
    </w:lvl>
    <w:lvl w:ilvl="3" w:tentative="0">
      <w:start w:val="1"/>
      <w:numFmt w:val="decimal"/>
      <w:suff w:val="nothing"/>
      <w:lvlText w:val="%1.%2.%3.%4　"/>
      <w:lvlJc w:val="left"/>
      <w:pPr>
        <w:ind w:left="840" w:firstLine="0"/>
      </w:pPr>
      <w:rPr>
        <w:rFonts w:hint="eastAsia" w:ascii="黑体" w:hAnsi="Times New Roman" w:eastAsia="黑体"/>
        <w:b w:val="0"/>
        <w:i w:val="0"/>
        <w:sz w:val="21"/>
      </w:rPr>
    </w:lvl>
    <w:lvl w:ilvl="4" w:tentative="0">
      <w:start w:val="1"/>
      <w:numFmt w:val="decimal"/>
      <w:suff w:val="nothing"/>
      <w:lvlText w:val="%1.%2.%3.%4.%5　"/>
      <w:lvlJc w:val="left"/>
      <w:pPr>
        <w:ind w:left="840" w:firstLine="0"/>
      </w:pPr>
      <w:rPr>
        <w:rFonts w:hint="eastAsia" w:ascii="黑体" w:hAnsi="Times New Roman" w:eastAsia="黑体"/>
        <w:b w:val="0"/>
        <w:i w:val="0"/>
        <w:sz w:val="21"/>
      </w:rPr>
    </w:lvl>
    <w:lvl w:ilvl="5" w:tentative="0">
      <w:start w:val="1"/>
      <w:numFmt w:val="decimal"/>
      <w:suff w:val="nothing"/>
      <w:lvlText w:val="%1.%2.%3.%4.%5.%6　"/>
      <w:lvlJc w:val="left"/>
      <w:pPr>
        <w:ind w:left="840" w:firstLine="0"/>
      </w:pPr>
      <w:rPr>
        <w:rFonts w:hint="eastAsia" w:ascii="黑体" w:hAnsi="Times New Roman" w:eastAsia="黑体"/>
        <w:b w:val="0"/>
        <w:i w:val="0"/>
        <w:sz w:val="21"/>
      </w:rPr>
    </w:lvl>
    <w:lvl w:ilvl="6" w:tentative="0">
      <w:start w:val="1"/>
      <w:numFmt w:val="decimal"/>
      <w:suff w:val="nothing"/>
      <w:lvlText w:val="%1%2.%3.%4.%5.%6.%7　"/>
      <w:lvlJc w:val="left"/>
      <w:pPr>
        <w:ind w:left="840" w:firstLine="0"/>
      </w:pPr>
      <w:rPr>
        <w:rFonts w:hint="eastAsia" w:ascii="黑体" w:hAnsi="Times New Roman" w:eastAsia="黑体"/>
        <w:b w:val="0"/>
        <w:i w:val="0"/>
        <w:sz w:val="21"/>
      </w:rPr>
    </w:lvl>
    <w:lvl w:ilvl="7" w:tentative="0">
      <w:start w:val="1"/>
      <w:numFmt w:val="decimal"/>
      <w:lvlText w:val="%1.%2.%3.%4.%5.%6.%7.%8"/>
      <w:lvlJc w:val="left"/>
      <w:pPr>
        <w:tabs>
          <w:tab w:val="left" w:pos="5191"/>
        </w:tabs>
        <w:ind w:left="840" w:firstLine="0"/>
      </w:pPr>
      <w:rPr>
        <w:rFonts w:hint="eastAsia"/>
      </w:rPr>
    </w:lvl>
    <w:lvl w:ilvl="8" w:tentative="0">
      <w:start w:val="1"/>
      <w:numFmt w:val="decimal"/>
      <w:lvlText w:val="%1.%2.%3.%4.%5.%6.%7.%8.%9"/>
      <w:lvlJc w:val="left"/>
      <w:pPr>
        <w:tabs>
          <w:tab w:val="left" w:pos="5617"/>
        </w:tabs>
        <w:ind w:left="840" w:firstLine="0"/>
      </w:pPr>
      <w:rPr>
        <w:rFonts w:hint="eastAsia"/>
      </w:rPr>
    </w:lvl>
  </w:abstractNum>
  <w:abstractNum w:abstractNumId="2">
    <w:nsid w:val="3CB06431"/>
    <w:multiLevelType w:val="multilevel"/>
    <w:tmpl w:val="3CB06431"/>
    <w:lvl w:ilvl="0" w:tentative="0">
      <w:start w:val="1"/>
      <w:numFmt w:val="decimal"/>
      <w:suff w:val="space"/>
      <w:lvlText w:val="%1"/>
      <w:lvlJc w:val="left"/>
      <w:pPr>
        <w:ind w:left="0" w:firstLine="0"/>
      </w:pPr>
      <w:rPr>
        <w:rFonts w:hint="default" w:ascii="Arial" w:hAnsi="Arial" w:eastAsia="宋体" w:cs="Times New Roman"/>
        <w:b w:val="0"/>
        <w:bCs w:val="0"/>
        <w:i w:val="0"/>
        <w:iCs w:val="0"/>
        <w:caps w:val="0"/>
        <w:smallCaps w:val="0"/>
        <w:strike w:val="0"/>
        <w:dstrike w:val="0"/>
        <w:vanish w:val="0"/>
        <w:spacing w:val="0"/>
        <w:position w:val="0"/>
        <w:u w:val="none"/>
        <w:vertAlign w:val="baseline"/>
      </w:rPr>
    </w:lvl>
    <w:lvl w:ilvl="1" w:tentative="0">
      <w:start w:val="1"/>
      <w:numFmt w:val="decimal"/>
      <w:suff w:val="space"/>
      <w:lvlText w:val="%1.%2"/>
      <w:lvlJc w:val="left"/>
      <w:pPr>
        <w:ind w:left="0" w:firstLine="0"/>
      </w:pPr>
      <w:rPr>
        <w:rFonts w:hint="default" w:ascii="Arial" w:hAnsi="Arial" w:eastAsia="宋体" w:cs="Times New Roman"/>
        <w:b w:val="0"/>
        <w:bCs w:val="0"/>
        <w:i w:val="0"/>
        <w:iCs w:val="0"/>
        <w:caps w:val="0"/>
        <w:smallCaps w:val="0"/>
        <w:strike w:val="0"/>
        <w:dstrike w:val="0"/>
        <w:vanish w:val="0"/>
        <w:spacing w:val="0"/>
        <w:position w:val="0"/>
        <w:u w:val="none"/>
        <w:vertAlign w:val="baseline"/>
      </w:rPr>
    </w:lvl>
    <w:lvl w:ilvl="2" w:tentative="0">
      <w:start w:val="1"/>
      <w:numFmt w:val="decimal"/>
      <w:pStyle w:val="26"/>
      <w:suff w:val="space"/>
      <w:lvlText w:val="%1.%2.%3"/>
      <w:lvlJc w:val="left"/>
      <w:pPr>
        <w:ind w:left="0" w:firstLine="0"/>
      </w:pPr>
      <w:rPr>
        <w:rFonts w:hint="default" w:ascii="Arial" w:hAnsi="Arial" w:eastAsia="宋体" w:cs="Times New Roman"/>
        <w:b w:val="0"/>
        <w:bCs w:val="0"/>
        <w:i w:val="0"/>
        <w:iCs w:val="0"/>
        <w:caps w:val="0"/>
        <w:smallCaps w:val="0"/>
        <w:strike w:val="0"/>
        <w:dstrike w:val="0"/>
        <w:vanish w:val="0"/>
        <w:spacing w:val="0"/>
        <w:kern w:val="0"/>
        <w:position w:val="0"/>
        <w:u w:val="none"/>
        <w:vertAlign w:val="baseline"/>
      </w:rPr>
    </w:lvl>
    <w:lvl w:ilvl="3" w:tentative="0">
      <w:start w:val="1"/>
      <w:numFmt w:val="decimal"/>
      <w:pStyle w:val="25"/>
      <w:suff w:val="nothing"/>
      <w:lvlText w:val="%1.%2.%3.%4"/>
      <w:lvlJc w:val="left"/>
      <w:pPr>
        <w:ind w:left="0" w:firstLine="0"/>
      </w:pPr>
      <w:rPr>
        <w:rFonts w:hint="eastAsia"/>
        <w:b w:val="0"/>
        <w:bCs w:val="0"/>
        <w:i w:val="0"/>
        <w:iCs w:val="0"/>
        <w:caps w:val="0"/>
        <w:smallCaps w:val="0"/>
        <w:strike w:val="0"/>
        <w:dstrike w:val="0"/>
        <w:vanish w:val="0"/>
        <w:color w:val="000000"/>
        <w:spacing w:val="0"/>
        <w:position w:val="0"/>
        <w:u w:val="none"/>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rPr>
    </w:lvl>
    <w:lvl w:ilvl="4" w:tentative="0">
      <w:start w:val="1"/>
      <w:numFmt w:val="decimal"/>
      <w:suff w:val="space"/>
      <w:lvlText w:val="(%5)"/>
      <w:lvlJc w:val="left"/>
      <w:pPr>
        <w:ind w:left="0" w:firstLine="0"/>
      </w:pPr>
      <w:rPr>
        <w:rFonts w:hint="eastAsia"/>
      </w:rPr>
    </w:lvl>
    <w:lvl w:ilvl="5" w:tentative="0">
      <w:start w:val="1"/>
      <w:numFmt w:val="lowerLetter"/>
      <w:lvlText w:val="(%6)"/>
      <w:lvlJc w:val="left"/>
      <w:pPr>
        <w:ind w:left="0" w:firstLine="0"/>
      </w:pPr>
      <w:rPr>
        <w:rFonts w:hint="eastAsia"/>
      </w:rPr>
    </w:lvl>
    <w:lvl w:ilvl="6" w:tentative="0">
      <w:start w:val="1"/>
      <w:numFmt w:val="decimal"/>
      <w:lvlRestart w:val="1"/>
      <w:lvlText w:val="(%1.%7)"/>
      <w:lvlJc w:val="left"/>
      <w:pPr>
        <w:ind w:left="0" w:firstLine="0"/>
      </w:pPr>
      <w:rPr>
        <w:rFonts w:hint="eastAsia"/>
      </w:rPr>
    </w:lvl>
    <w:lvl w:ilvl="7" w:tentative="0">
      <w:start w:val="1"/>
      <w:numFmt w:val="decimal"/>
      <w:lvlRestart w:val="2"/>
      <w:suff w:val="space"/>
      <w:lvlText w:val="表%1.%2-%8"/>
      <w:lvlJc w:val="center"/>
      <w:pPr>
        <w:ind w:left="0" w:firstLine="0"/>
      </w:pPr>
      <w:rPr>
        <w:rFonts w:hint="default" w:ascii="Arial" w:hAnsi="Arial" w:eastAsia="宋体"/>
        <w:b w:val="0"/>
        <w:i w:val="0"/>
        <w:sz w:val="24"/>
        <w:lang w:val="en-US"/>
      </w:rPr>
    </w:lvl>
    <w:lvl w:ilvl="8" w:tentative="0">
      <w:start w:val="1"/>
      <w:numFmt w:val="decimal"/>
      <w:lvlRestart w:val="2"/>
      <w:suff w:val="space"/>
      <w:lvlText w:val="图%1.%2-%9"/>
      <w:lvlJc w:val="center"/>
      <w:pPr>
        <w:ind w:left="0" w:firstLine="0"/>
      </w:pPr>
      <w:rPr>
        <w:rFonts w:hint="default" w:ascii="Arial" w:hAnsi="Arial" w:eastAsia="宋体" w:cs="Times New Roman"/>
        <w:b w:val="0"/>
        <w:bCs w:val="0"/>
        <w:i w:val="0"/>
        <w:iCs w:val="0"/>
        <w:caps w:val="0"/>
        <w:smallCaps w:val="0"/>
        <w:strike w:val="0"/>
        <w:dstrike w:val="0"/>
        <w:vanish w:val="0"/>
        <w:spacing w:val="0"/>
        <w:kern w:val="0"/>
        <w:position w:val="0"/>
        <w:sz w:val="24"/>
        <w:u w:val="none"/>
        <w:vertAlign w:val="baseline"/>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1"/>
  <w:doNotDisplayPageBoundaries w:val="1"/>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GJjMDA0MDViNWYzOTI3Nzg3NmYzNzg2MzdiMjRiYjQifQ=="/>
  </w:docVars>
  <w:rsids>
    <w:rsidRoot w:val="11B16F77"/>
    <w:rsid w:val="000A20B9"/>
    <w:rsid w:val="006D2CC0"/>
    <w:rsid w:val="00DC7C1D"/>
    <w:rsid w:val="010F5AA8"/>
    <w:rsid w:val="011473B7"/>
    <w:rsid w:val="015E6884"/>
    <w:rsid w:val="017F6FD8"/>
    <w:rsid w:val="01950462"/>
    <w:rsid w:val="01A668EB"/>
    <w:rsid w:val="01BD7A4F"/>
    <w:rsid w:val="01D078CB"/>
    <w:rsid w:val="01D23588"/>
    <w:rsid w:val="01DB394C"/>
    <w:rsid w:val="021729EF"/>
    <w:rsid w:val="026E6F9B"/>
    <w:rsid w:val="02765963"/>
    <w:rsid w:val="027F4879"/>
    <w:rsid w:val="02B84B8F"/>
    <w:rsid w:val="02CC7C60"/>
    <w:rsid w:val="02E07E32"/>
    <w:rsid w:val="02F30994"/>
    <w:rsid w:val="03065D3F"/>
    <w:rsid w:val="030D0562"/>
    <w:rsid w:val="031C69F7"/>
    <w:rsid w:val="032233CF"/>
    <w:rsid w:val="032E493A"/>
    <w:rsid w:val="03821AF9"/>
    <w:rsid w:val="039556DF"/>
    <w:rsid w:val="039B3FBF"/>
    <w:rsid w:val="03A762C0"/>
    <w:rsid w:val="03B504A3"/>
    <w:rsid w:val="04194CE4"/>
    <w:rsid w:val="047702EF"/>
    <w:rsid w:val="048220F0"/>
    <w:rsid w:val="04E470A0"/>
    <w:rsid w:val="04E56DE7"/>
    <w:rsid w:val="05281683"/>
    <w:rsid w:val="053242B0"/>
    <w:rsid w:val="053D07A7"/>
    <w:rsid w:val="05526700"/>
    <w:rsid w:val="055A1E03"/>
    <w:rsid w:val="055C337C"/>
    <w:rsid w:val="055F1D2B"/>
    <w:rsid w:val="056106F1"/>
    <w:rsid w:val="056B7F96"/>
    <w:rsid w:val="05904691"/>
    <w:rsid w:val="05DF62C8"/>
    <w:rsid w:val="05EA2DDC"/>
    <w:rsid w:val="06380C0F"/>
    <w:rsid w:val="06772149"/>
    <w:rsid w:val="0692731E"/>
    <w:rsid w:val="06A53383"/>
    <w:rsid w:val="06B74313"/>
    <w:rsid w:val="06C70081"/>
    <w:rsid w:val="06F16965"/>
    <w:rsid w:val="0702231F"/>
    <w:rsid w:val="07B2792A"/>
    <w:rsid w:val="08035B97"/>
    <w:rsid w:val="084D4100"/>
    <w:rsid w:val="084E1401"/>
    <w:rsid w:val="08577072"/>
    <w:rsid w:val="08934557"/>
    <w:rsid w:val="089979DE"/>
    <w:rsid w:val="08D12032"/>
    <w:rsid w:val="08FA1588"/>
    <w:rsid w:val="08FA2BCA"/>
    <w:rsid w:val="08FF0793"/>
    <w:rsid w:val="09584C25"/>
    <w:rsid w:val="096858A0"/>
    <w:rsid w:val="09C63218"/>
    <w:rsid w:val="09DB2553"/>
    <w:rsid w:val="09F479B8"/>
    <w:rsid w:val="0A0D52EB"/>
    <w:rsid w:val="0A3259D4"/>
    <w:rsid w:val="0A4F6643"/>
    <w:rsid w:val="0A6071C9"/>
    <w:rsid w:val="0A80786B"/>
    <w:rsid w:val="0A8729A8"/>
    <w:rsid w:val="0ABC5C4D"/>
    <w:rsid w:val="0AC775F6"/>
    <w:rsid w:val="0AFC3A37"/>
    <w:rsid w:val="0B9F1F73"/>
    <w:rsid w:val="0BD451FD"/>
    <w:rsid w:val="0C425B07"/>
    <w:rsid w:val="0C8F5515"/>
    <w:rsid w:val="0CC42903"/>
    <w:rsid w:val="0CD84941"/>
    <w:rsid w:val="0CF83115"/>
    <w:rsid w:val="0D1D0185"/>
    <w:rsid w:val="0D425E46"/>
    <w:rsid w:val="0D473D92"/>
    <w:rsid w:val="0D7E33C4"/>
    <w:rsid w:val="0D8633EB"/>
    <w:rsid w:val="0DA1068C"/>
    <w:rsid w:val="0E123F91"/>
    <w:rsid w:val="0E2C21E4"/>
    <w:rsid w:val="0E376FED"/>
    <w:rsid w:val="0E4D3F08"/>
    <w:rsid w:val="0E65475F"/>
    <w:rsid w:val="0E736B11"/>
    <w:rsid w:val="0E7F4D81"/>
    <w:rsid w:val="0EF81F84"/>
    <w:rsid w:val="0EF820C6"/>
    <w:rsid w:val="0F31382A"/>
    <w:rsid w:val="0F4C3058"/>
    <w:rsid w:val="0F5F2145"/>
    <w:rsid w:val="0FB40970"/>
    <w:rsid w:val="10074E83"/>
    <w:rsid w:val="10154FA5"/>
    <w:rsid w:val="104836B3"/>
    <w:rsid w:val="10761BCF"/>
    <w:rsid w:val="10AF4A06"/>
    <w:rsid w:val="10BA4620"/>
    <w:rsid w:val="11290813"/>
    <w:rsid w:val="11365128"/>
    <w:rsid w:val="117F59A5"/>
    <w:rsid w:val="1182211B"/>
    <w:rsid w:val="1184614B"/>
    <w:rsid w:val="11875983"/>
    <w:rsid w:val="118842B6"/>
    <w:rsid w:val="11B16F77"/>
    <w:rsid w:val="11DA1C33"/>
    <w:rsid w:val="11ED4ACC"/>
    <w:rsid w:val="11F50B3F"/>
    <w:rsid w:val="12130568"/>
    <w:rsid w:val="122A0630"/>
    <w:rsid w:val="124B4C03"/>
    <w:rsid w:val="128802B2"/>
    <w:rsid w:val="129D5360"/>
    <w:rsid w:val="12DD46A3"/>
    <w:rsid w:val="133B7AA0"/>
    <w:rsid w:val="13701AA9"/>
    <w:rsid w:val="13AB531F"/>
    <w:rsid w:val="13F55E6F"/>
    <w:rsid w:val="140207ED"/>
    <w:rsid w:val="142F71C0"/>
    <w:rsid w:val="143C7D2F"/>
    <w:rsid w:val="143D0DD6"/>
    <w:rsid w:val="146C0046"/>
    <w:rsid w:val="14BE025F"/>
    <w:rsid w:val="14C4031B"/>
    <w:rsid w:val="14CD7B51"/>
    <w:rsid w:val="14CE518C"/>
    <w:rsid w:val="14CF1B1B"/>
    <w:rsid w:val="14F96B98"/>
    <w:rsid w:val="155F071A"/>
    <w:rsid w:val="15A05265"/>
    <w:rsid w:val="15A1799B"/>
    <w:rsid w:val="15C50828"/>
    <w:rsid w:val="15D16F40"/>
    <w:rsid w:val="161B1156"/>
    <w:rsid w:val="162B2D81"/>
    <w:rsid w:val="16333267"/>
    <w:rsid w:val="16445BF1"/>
    <w:rsid w:val="1662251B"/>
    <w:rsid w:val="166416D0"/>
    <w:rsid w:val="16981FBE"/>
    <w:rsid w:val="169D3B77"/>
    <w:rsid w:val="16C805D0"/>
    <w:rsid w:val="16D53429"/>
    <w:rsid w:val="16DA6555"/>
    <w:rsid w:val="16ED6288"/>
    <w:rsid w:val="16F34F8A"/>
    <w:rsid w:val="16F83F95"/>
    <w:rsid w:val="17055BC8"/>
    <w:rsid w:val="172045D1"/>
    <w:rsid w:val="17253C74"/>
    <w:rsid w:val="176C53FF"/>
    <w:rsid w:val="17741C44"/>
    <w:rsid w:val="1780264A"/>
    <w:rsid w:val="17AB3A62"/>
    <w:rsid w:val="183C317B"/>
    <w:rsid w:val="18761375"/>
    <w:rsid w:val="188C4DE8"/>
    <w:rsid w:val="188F5919"/>
    <w:rsid w:val="18B72FDA"/>
    <w:rsid w:val="18B85D9C"/>
    <w:rsid w:val="18F07E29"/>
    <w:rsid w:val="18FC0A05"/>
    <w:rsid w:val="18FD340F"/>
    <w:rsid w:val="18FF20C9"/>
    <w:rsid w:val="191F35C3"/>
    <w:rsid w:val="19612E6F"/>
    <w:rsid w:val="19836A30"/>
    <w:rsid w:val="199D3F96"/>
    <w:rsid w:val="1A130087"/>
    <w:rsid w:val="1A350AE9"/>
    <w:rsid w:val="1A4268EB"/>
    <w:rsid w:val="1A5B5BFF"/>
    <w:rsid w:val="1ABE4E06"/>
    <w:rsid w:val="1AE14A63"/>
    <w:rsid w:val="1AF31665"/>
    <w:rsid w:val="1B3C5CF6"/>
    <w:rsid w:val="1B4318B7"/>
    <w:rsid w:val="1B461979"/>
    <w:rsid w:val="1B463EF5"/>
    <w:rsid w:val="1B4A0C0E"/>
    <w:rsid w:val="1B642891"/>
    <w:rsid w:val="1B6812CA"/>
    <w:rsid w:val="1BA90A64"/>
    <w:rsid w:val="1BA90BF3"/>
    <w:rsid w:val="1C4F16D7"/>
    <w:rsid w:val="1C8A58A3"/>
    <w:rsid w:val="1CF9709D"/>
    <w:rsid w:val="1D2B171F"/>
    <w:rsid w:val="1D2B3667"/>
    <w:rsid w:val="1D2B7E5B"/>
    <w:rsid w:val="1D466790"/>
    <w:rsid w:val="1D560070"/>
    <w:rsid w:val="1D727446"/>
    <w:rsid w:val="1DC74FF4"/>
    <w:rsid w:val="1DF919B7"/>
    <w:rsid w:val="1EA709B1"/>
    <w:rsid w:val="1EC03D66"/>
    <w:rsid w:val="1EC17B30"/>
    <w:rsid w:val="1EDE25B8"/>
    <w:rsid w:val="1EE14925"/>
    <w:rsid w:val="1F4173B7"/>
    <w:rsid w:val="1F71069C"/>
    <w:rsid w:val="1F9757DB"/>
    <w:rsid w:val="1F9A4AD4"/>
    <w:rsid w:val="1FB40652"/>
    <w:rsid w:val="1FD442EC"/>
    <w:rsid w:val="1FE67D19"/>
    <w:rsid w:val="20330EE3"/>
    <w:rsid w:val="205D7CC4"/>
    <w:rsid w:val="20B87907"/>
    <w:rsid w:val="20C413F4"/>
    <w:rsid w:val="20E2372A"/>
    <w:rsid w:val="211D29BA"/>
    <w:rsid w:val="213A39F8"/>
    <w:rsid w:val="213B5E42"/>
    <w:rsid w:val="21A63C04"/>
    <w:rsid w:val="21E722C6"/>
    <w:rsid w:val="21EE7F72"/>
    <w:rsid w:val="22144498"/>
    <w:rsid w:val="224B623F"/>
    <w:rsid w:val="22575365"/>
    <w:rsid w:val="22A22599"/>
    <w:rsid w:val="22F37301"/>
    <w:rsid w:val="234974EA"/>
    <w:rsid w:val="2351194D"/>
    <w:rsid w:val="2379277A"/>
    <w:rsid w:val="23D4764B"/>
    <w:rsid w:val="23F52C20"/>
    <w:rsid w:val="24092228"/>
    <w:rsid w:val="2492046F"/>
    <w:rsid w:val="24927F9E"/>
    <w:rsid w:val="24A106B2"/>
    <w:rsid w:val="24F1163A"/>
    <w:rsid w:val="24FE71FC"/>
    <w:rsid w:val="2505290D"/>
    <w:rsid w:val="255B3A27"/>
    <w:rsid w:val="2587082F"/>
    <w:rsid w:val="25BB1EE5"/>
    <w:rsid w:val="25BE4683"/>
    <w:rsid w:val="25E07365"/>
    <w:rsid w:val="25FD479D"/>
    <w:rsid w:val="264A2E70"/>
    <w:rsid w:val="265620C6"/>
    <w:rsid w:val="265B7536"/>
    <w:rsid w:val="26842D50"/>
    <w:rsid w:val="268D0EEE"/>
    <w:rsid w:val="26B648E9"/>
    <w:rsid w:val="2713110A"/>
    <w:rsid w:val="272A1EA8"/>
    <w:rsid w:val="27327868"/>
    <w:rsid w:val="27445AFC"/>
    <w:rsid w:val="27457CE6"/>
    <w:rsid w:val="27563219"/>
    <w:rsid w:val="27565808"/>
    <w:rsid w:val="278A18D2"/>
    <w:rsid w:val="27AD7087"/>
    <w:rsid w:val="27BB0366"/>
    <w:rsid w:val="27C32744"/>
    <w:rsid w:val="27CD5050"/>
    <w:rsid w:val="27D03788"/>
    <w:rsid w:val="28076714"/>
    <w:rsid w:val="280B44BC"/>
    <w:rsid w:val="280C5E8F"/>
    <w:rsid w:val="28107987"/>
    <w:rsid w:val="283D0324"/>
    <w:rsid w:val="283D7E81"/>
    <w:rsid w:val="2846765D"/>
    <w:rsid w:val="286E76D6"/>
    <w:rsid w:val="286F5B1F"/>
    <w:rsid w:val="28767B66"/>
    <w:rsid w:val="2886653D"/>
    <w:rsid w:val="28BA172F"/>
    <w:rsid w:val="28F814B9"/>
    <w:rsid w:val="292756D2"/>
    <w:rsid w:val="29801936"/>
    <w:rsid w:val="299D6F78"/>
    <w:rsid w:val="29A22ED3"/>
    <w:rsid w:val="29A7365D"/>
    <w:rsid w:val="2A012B8F"/>
    <w:rsid w:val="2A0A7D59"/>
    <w:rsid w:val="2A135C1B"/>
    <w:rsid w:val="2A3049B2"/>
    <w:rsid w:val="2A5A09A1"/>
    <w:rsid w:val="2A636B36"/>
    <w:rsid w:val="2A665F0B"/>
    <w:rsid w:val="2A742B27"/>
    <w:rsid w:val="2A8C2E61"/>
    <w:rsid w:val="2AB743C8"/>
    <w:rsid w:val="2AC15C90"/>
    <w:rsid w:val="2AD74AC9"/>
    <w:rsid w:val="2B395AE8"/>
    <w:rsid w:val="2B556272"/>
    <w:rsid w:val="2B604E23"/>
    <w:rsid w:val="2B6768AF"/>
    <w:rsid w:val="2BA02CF5"/>
    <w:rsid w:val="2BA344D9"/>
    <w:rsid w:val="2BAA0672"/>
    <w:rsid w:val="2BCC27B1"/>
    <w:rsid w:val="2BDC182E"/>
    <w:rsid w:val="2BE150BC"/>
    <w:rsid w:val="2C1B30AB"/>
    <w:rsid w:val="2C532973"/>
    <w:rsid w:val="2C6D49AA"/>
    <w:rsid w:val="2C8F634D"/>
    <w:rsid w:val="2CE40345"/>
    <w:rsid w:val="2CE47D2A"/>
    <w:rsid w:val="2D085772"/>
    <w:rsid w:val="2D1B56F1"/>
    <w:rsid w:val="2D6C5D01"/>
    <w:rsid w:val="2D796670"/>
    <w:rsid w:val="2D7B17AD"/>
    <w:rsid w:val="2DA336ED"/>
    <w:rsid w:val="2DEA639C"/>
    <w:rsid w:val="2E1E4B22"/>
    <w:rsid w:val="2E4D1E61"/>
    <w:rsid w:val="2E7110F5"/>
    <w:rsid w:val="2EA10D9F"/>
    <w:rsid w:val="2EA17C2D"/>
    <w:rsid w:val="2EBE268B"/>
    <w:rsid w:val="2EC15BD9"/>
    <w:rsid w:val="2EE44E0D"/>
    <w:rsid w:val="2EEE547C"/>
    <w:rsid w:val="2F041F69"/>
    <w:rsid w:val="2F1403FE"/>
    <w:rsid w:val="2F6573B9"/>
    <w:rsid w:val="2FA76EBB"/>
    <w:rsid w:val="2FB74CAC"/>
    <w:rsid w:val="2FFE7AEF"/>
    <w:rsid w:val="300F5CEA"/>
    <w:rsid w:val="301E4FFC"/>
    <w:rsid w:val="302A28F2"/>
    <w:rsid w:val="305F38FB"/>
    <w:rsid w:val="308C78EF"/>
    <w:rsid w:val="30A77050"/>
    <w:rsid w:val="30C55B0E"/>
    <w:rsid w:val="30FC51C2"/>
    <w:rsid w:val="312033B9"/>
    <w:rsid w:val="3125515C"/>
    <w:rsid w:val="313E115B"/>
    <w:rsid w:val="313F1DAA"/>
    <w:rsid w:val="314A4E92"/>
    <w:rsid w:val="31A91211"/>
    <w:rsid w:val="31B16876"/>
    <w:rsid w:val="31BB4A9C"/>
    <w:rsid w:val="31F07456"/>
    <w:rsid w:val="3213669C"/>
    <w:rsid w:val="321D524B"/>
    <w:rsid w:val="322E61A4"/>
    <w:rsid w:val="3292733B"/>
    <w:rsid w:val="3295408B"/>
    <w:rsid w:val="32AC0EAB"/>
    <w:rsid w:val="32D55AD2"/>
    <w:rsid w:val="3302598D"/>
    <w:rsid w:val="331E5FDE"/>
    <w:rsid w:val="33753436"/>
    <w:rsid w:val="337F6063"/>
    <w:rsid w:val="33837901"/>
    <w:rsid w:val="33B10831"/>
    <w:rsid w:val="33C90F90"/>
    <w:rsid w:val="33D12052"/>
    <w:rsid w:val="33E412BD"/>
    <w:rsid w:val="340656ED"/>
    <w:rsid w:val="341D4F40"/>
    <w:rsid w:val="344828F8"/>
    <w:rsid w:val="346922D4"/>
    <w:rsid w:val="34902605"/>
    <w:rsid w:val="351647A5"/>
    <w:rsid w:val="35175B88"/>
    <w:rsid w:val="35505A02"/>
    <w:rsid w:val="35725E7F"/>
    <w:rsid w:val="358948CF"/>
    <w:rsid w:val="35D30719"/>
    <w:rsid w:val="35E322E2"/>
    <w:rsid w:val="366D0A5A"/>
    <w:rsid w:val="369342FF"/>
    <w:rsid w:val="36D32BC4"/>
    <w:rsid w:val="36D34080"/>
    <w:rsid w:val="37403D5B"/>
    <w:rsid w:val="3757121F"/>
    <w:rsid w:val="375B1B93"/>
    <w:rsid w:val="37856E75"/>
    <w:rsid w:val="37BE04B8"/>
    <w:rsid w:val="37D77C20"/>
    <w:rsid w:val="37DC0955"/>
    <w:rsid w:val="37ED10CA"/>
    <w:rsid w:val="37F4686F"/>
    <w:rsid w:val="37FD6D6A"/>
    <w:rsid w:val="38020CF1"/>
    <w:rsid w:val="3816636A"/>
    <w:rsid w:val="381710F5"/>
    <w:rsid w:val="381D5334"/>
    <w:rsid w:val="382150B0"/>
    <w:rsid w:val="382B0567"/>
    <w:rsid w:val="38B05592"/>
    <w:rsid w:val="39057817"/>
    <w:rsid w:val="39205BF2"/>
    <w:rsid w:val="39275624"/>
    <w:rsid w:val="396D6DE6"/>
    <w:rsid w:val="39AB009B"/>
    <w:rsid w:val="39D63D86"/>
    <w:rsid w:val="39DC420F"/>
    <w:rsid w:val="39E246F4"/>
    <w:rsid w:val="3A0C2652"/>
    <w:rsid w:val="3A173FFA"/>
    <w:rsid w:val="3A314864"/>
    <w:rsid w:val="3A397C14"/>
    <w:rsid w:val="3A544683"/>
    <w:rsid w:val="3A66415E"/>
    <w:rsid w:val="3A6D5716"/>
    <w:rsid w:val="3A714015"/>
    <w:rsid w:val="3A777A93"/>
    <w:rsid w:val="3A8211A9"/>
    <w:rsid w:val="3ADB28BD"/>
    <w:rsid w:val="3ADB44C6"/>
    <w:rsid w:val="3ADC6FA2"/>
    <w:rsid w:val="3B407CE0"/>
    <w:rsid w:val="3B6B3261"/>
    <w:rsid w:val="3B7A783B"/>
    <w:rsid w:val="3C1063F2"/>
    <w:rsid w:val="3C681D8A"/>
    <w:rsid w:val="3C6D5A4D"/>
    <w:rsid w:val="3C787F51"/>
    <w:rsid w:val="3CC6772C"/>
    <w:rsid w:val="3CEA6C43"/>
    <w:rsid w:val="3CF11D7F"/>
    <w:rsid w:val="3D0A1093"/>
    <w:rsid w:val="3D0F7C15"/>
    <w:rsid w:val="3D436353"/>
    <w:rsid w:val="3D8D0385"/>
    <w:rsid w:val="3D9B4DA3"/>
    <w:rsid w:val="3DA037A5"/>
    <w:rsid w:val="3DA260D2"/>
    <w:rsid w:val="3DB73ABE"/>
    <w:rsid w:val="3DEA337D"/>
    <w:rsid w:val="3DF5027B"/>
    <w:rsid w:val="3E292AC9"/>
    <w:rsid w:val="3E2D62DB"/>
    <w:rsid w:val="3E3C386B"/>
    <w:rsid w:val="3E410B67"/>
    <w:rsid w:val="3E474AE0"/>
    <w:rsid w:val="3E987CCF"/>
    <w:rsid w:val="3EF270AB"/>
    <w:rsid w:val="3F6C6DAF"/>
    <w:rsid w:val="3F6D1D26"/>
    <w:rsid w:val="3FA15AA1"/>
    <w:rsid w:val="3FC90AB1"/>
    <w:rsid w:val="3FCE5FBC"/>
    <w:rsid w:val="3FDF4418"/>
    <w:rsid w:val="3FFC2B22"/>
    <w:rsid w:val="40167D4F"/>
    <w:rsid w:val="404D2E17"/>
    <w:rsid w:val="4050004D"/>
    <w:rsid w:val="4081166C"/>
    <w:rsid w:val="40923879"/>
    <w:rsid w:val="4104731D"/>
    <w:rsid w:val="41643204"/>
    <w:rsid w:val="4175565B"/>
    <w:rsid w:val="418E1DA6"/>
    <w:rsid w:val="41AD023F"/>
    <w:rsid w:val="41F8477D"/>
    <w:rsid w:val="420F3FC5"/>
    <w:rsid w:val="421D53C4"/>
    <w:rsid w:val="421F2EEA"/>
    <w:rsid w:val="422F08A0"/>
    <w:rsid w:val="427B3595"/>
    <w:rsid w:val="42844C60"/>
    <w:rsid w:val="42A72EE0"/>
    <w:rsid w:val="42CB3072"/>
    <w:rsid w:val="42ED1984"/>
    <w:rsid w:val="43443F6B"/>
    <w:rsid w:val="438628AB"/>
    <w:rsid w:val="43BB30E7"/>
    <w:rsid w:val="43C755E8"/>
    <w:rsid w:val="43F11372"/>
    <w:rsid w:val="43F66C59"/>
    <w:rsid w:val="44077BDE"/>
    <w:rsid w:val="440C749E"/>
    <w:rsid w:val="44224F14"/>
    <w:rsid w:val="444717A8"/>
    <w:rsid w:val="44EE3048"/>
    <w:rsid w:val="4523453F"/>
    <w:rsid w:val="45237196"/>
    <w:rsid w:val="45450D0E"/>
    <w:rsid w:val="45603F46"/>
    <w:rsid w:val="456F5F37"/>
    <w:rsid w:val="4577303D"/>
    <w:rsid w:val="457D238B"/>
    <w:rsid w:val="459D126B"/>
    <w:rsid w:val="45CE5277"/>
    <w:rsid w:val="45D53541"/>
    <w:rsid w:val="45DD6E08"/>
    <w:rsid w:val="46202D66"/>
    <w:rsid w:val="46726720"/>
    <w:rsid w:val="46771714"/>
    <w:rsid w:val="46B04A59"/>
    <w:rsid w:val="46B50A37"/>
    <w:rsid w:val="46C83295"/>
    <w:rsid w:val="46FD0890"/>
    <w:rsid w:val="47040901"/>
    <w:rsid w:val="47331C9C"/>
    <w:rsid w:val="474A6C5C"/>
    <w:rsid w:val="47863A0C"/>
    <w:rsid w:val="47BD1CB4"/>
    <w:rsid w:val="481B5E95"/>
    <w:rsid w:val="48623B31"/>
    <w:rsid w:val="48A203D1"/>
    <w:rsid w:val="48A56114"/>
    <w:rsid w:val="48B14D38"/>
    <w:rsid w:val="48C12F4D"/>
    <w:rsid w:val="48FA645F"/>
    <w:rsid w:val="48FB42D1"/>
    <w:rsid w:val="4908675A"/>
    <w:rsid w:val="49211C3E"/>
    <w:rsid w:val="49221512"/>
    <w:rsid w:val="49431BB4"/>
    <w:rsid w:val="496557F9"/>
    <w:rsid w:val="49CC7AB7"/>
    <w:rsid w:val="49EB7B56"/>
    <w:rsid w:val="4A052AA5"/>
    <w:rsid w:val="4A0F76E1"/>
    <w:rsid w:val="4A131A9D"/>
    <w:rsid w:val="4A9F7C64"/>
    <w:rsid w:val="4AF8481C"/>
    <w:rsid w:val="4B1F10D9"/>
    <w:rsid w:val="4B294DDA"/>
    <w:rsid w:val="4B614580"/>
    <w:rsid w:val="4B716647"/>
    <w:rsid w:val="4B7324F9"/>
    <w:rsid w:val="4B885FA4"/>
    <w:rsid w:val="4B9D2E9A"/>
    <w:rsid w:val="4BAE0C59"/>
    <w:rsid w:val="4BE04C18"/>
    <w:rsid w:val="4BFA506D"/>
    <w:rsid w:val="4C1E69DC"/>
    <w:rsid w:val="4C2B6930"/>
    <w:rsid w:val="4C4B1B31"/>
    <w:rsid w:val="4C710F14"/>
    <w:rsid w:val="4CAF3A27"/>
    <w:rsid w:val="4D213A30"/>
    <w:rsid w:val="4D2C2C5D"/>
    <w:rsid w:val="4D5A4639"/>
    <w:rsid w:val="4D64034B"/>
    <w:rsid w:val="4D7367E0"/>
    <w:rsid w:val="4DDF79D2"/>
    <w:rsid w:val="4E17716C"/>
    <w:rsid w:val="4E4269BE"/>
    <w:rsid w:val="4EA05CA0"/>
    <w:rsid w:val="4EA079E3"/>
    <w:rsid w:val="4EA54365"/>
    <w:rsid w:val="4EB470B0"/>
    <w:rsid w:val="4EB578C5"/>
    <w:rsid w:val="4EF27F3E"/>
    <w:rsid w:val="4EFB2D25"/>
    <w:rsid w:val="4F010023"/>
    <w:rsid w:val="4F410CAD"/>
    <w:rsid w:val="4F545330"/>
    <w:rsid w:val="4FC45FF2"/>
    <w:rsid w:val="4FF65D45"/>
    <w:rsid w:val="50013BA7"/>
    <w:rsid w:val="500368F2"/>
    <w:rsid w:val="504F0E3F"/>
    <w:rsid w:val="5051105B"/>
    <w:rsid w:val="50602E08"/>
    <w:rsid w:val="50A05B3E"/>
    <w:rsid w:val="50B9391E"/>
    <w:rsid w:val="50D63DAC"/>
    <w:rsid w:val="51051E45"/>
    <w:rsid w:val="513A24AE"/>
    <w:rsid w:val="51600E2A"/>
    <w:rsid w:val="5165512B"/>
    <w:rsid w:val="519247A1"/>
    <w:rsid w:val="51A96C75"/>
    <w:rsid w:val="51D3742D"/>
    <w:rsid w:val="524C288E"/>
    <w:rsid w:val="52825CD0"/>
    <w:rsid w:val="528E2FF8"/>
    <w:rsid w:val="529F2AD5"/>
    <w:rsid w:val="52B82387"/>
    <w:rsid w:val="52BA3B63"/>
    <w:rsid w:val="52EF6540"/>
    <w:rsid w:val="533E5A10"/>
    <w:rsid w:val="53682217"/>
    <w:rsid w:val="53710AD0"/>
    <w:rsid w:val="53757567"/>
    <w:rsid w:val="5394414A"/>
    <w:rsid w:val="53964D5A"/>
    <w:rsid w:val="542B05EA"/>
    <w:rsid w:val="542B1BC3"/>
    <w:rsid w:val="542B7196"/>
    <w:rsid w:val="545C4D54"/>
    <w:rsid w:val="546E1A14"/>
    <w:rsid w:val="547A26C4"/>
    <w:rsid w:val="54880DC3"/>
    <w:rsid w:val="548B65B8"/>
    <w:rsid w:val="548F2152"/>
    <w:rsid w:val="549E715C"/>
    <w:rsid w:val="54C730CC"/>
    <w:rsid w:val="550911CA"/>
    <w:rsid w:val="55562C6F"/>
    <w:rsid w:val="555C15BA"/>
    <w:rsid w:val="557D65F7"/>
    <w:rsid w:val="559353B9"/>
    <w:rsid w:val="55A20082"/>
    <w:rsid w:val="55CB6607"/>
    <w:rsid w:val="55CD4E7B"/>
    <w:rsid w:val="55EF09CE"/>
    <w:rsid w:val="55FB6C1C"/>
    <w:rsid w:val="56570843"/>
    <w:rsid w:val="56742890"/>
    <w:rsid w:val="57144B90"/>
    <w:rsid w:val="573C1866"/>
    <w:rsid w:val="574F7976"/>
    <w:rsid w:val="57B44C5E"/>
    <w:rsid w:val="58027C9C"/>
    <w:rsid w:val="580C6EDD"/>
    <w:rsid w:val="58324E4B"/>
    <w:rsid w:val="583D0117"/>
    <w:rsid w:val="58596C4E"/>
    <w:rsid w:val="586438F5"/>
    <w:rsid w:val="587A5237"/>
    <w:rsid w:val="58A67A66"/>
    <w:rsid w:val="58B55EFF"/>
    <w:rsid w:val="58DF11CE"/>
    <w:rsid w:val="58E511CB"/>
    <w:rsid w:val="591C1ADA"/>
    <w:rsid w:val="59261271"/>
    <w:rsid w:val="59350017"/>
    <w:rsid w:val="5943558E"/>
    <w:rsid w:val="59595600"/>
    <w:rsid w:val="59AE6315"/>
    <w:rsid w:val="59BD6D86"/>
    <w:rsid w:val="59D6437F"/>
    <w:rsid w:val="59DB3E06"/>
    <w:rsid w:val="59E17ECD"/>
    <w:rsid w:val="59E3084A"/>
    <w:rsid w:val="59E91ADA"/>
    <w:rsid w:val="59ED4A69"/>
    <w:rsid w:val="59FB327B"/>
    <w:rsid w:val="5A014244"/>
    <w:rsid w:val="5A111F61"/>
    <w:rsid w:val="5A186250"/>
    <w:rsid w:val="5A573960"/>
    <w:rsid w:val="5A712320"/>
    <w:rsid w:val="5A892035"/>
    <w:rsid w:val="5AAD294C"/>
    <w:rsid w:val="5AE20B01"/>
    <w:rsid w:val="5B043B95"/>
    <w:rsid w:val="5B152C85"/>
    <w:rsid w:val="5B1618E7"/>
    <w:rsid w:val="5B4876F8"/>
    <w:rsid w:val="5B93283B"/>
    <w:rsid w:val="5BA0502A"/>
    <w:rsid w:val="5BA30291"/>
    <w:rsid w:val="5BFC5BF3"/>
    <w:rsid w:val="5BFF4980"/>
    <w:rsid w:val="5C3810C1"/>
    <w:rsid w:val="5C5E0925"/>
    <w:rsid w:val="5C66042B"/>
    <w:rsid w:val="5C930305"/>
    <w:rsid w:val="5CAC29F8"/>
    <w:rsid w:val="5CED7A32"/>
    <w:rsid w:val="5D0447D5"/>
    <w:rsid w:val="5D42562D"/>
    <w:rsid w:val="5D45320E"/>
    <w:rsid w:val="5D56233C"/>
    <w:rsid w:val="5D731ED1"/>
    <w:rsid w:val="5D9D0701"/>
    <w:rsid w:val="5DEF4E06"/>
    <w:rsid w:val="5E074424"/>
    <w:rsid w:val="5E325E43"/>
    <w:rsid w:val="5E4D2736"/>
    <w:rsid w:val="5E761C8C"/>
    <w:rsid w:val="5E766130"/>
    <w:rsid w:val="5EC232AC"/>
    <w:rsid w:val="5ED91939"/>
    <w:rsid w:val="5EF17565"/>
    <w:rsid w:val="5F0563BF"/>
    <w:rsid w:val="5F3C1A30"/>
    <w:rsid w:val="5F3D51C4"/>
    <w:rsid w:val="5F767D2F"/>
    <w:rsid w:val="5FA647F3"/>
    <w:rsid w:val="60131829"/>
    <w:rsid w:val="608B1DE7"/>
    <w:rsid w:val="60924A0D"/>
    <w:rsid w:val="60CF36F6"/>
    <w:rsid w:val="60DB04CD"/>
    <w:rsid w:val="60DE5F26"/>
    <w:rsid w:val="617438DB"/>
    <w:rsid w:val="61872E3A"/>
    <w:rsid w:val="61EF4230"/>
    <w:rsid w:val="61F30525"/>
    <w:rsid w:val="62185625"/>
    <w:rsid w:val="621E0127"/>
    <w:rsid w:val="621E304D"/>
    <w:rsid w:val="62314848"/>
    <w:rsid w:val="624E0C6E"/>
    <w:rsid w:val="6283706E"/>
    <w:rsid w:val="629E17B2"/>
    <w:rsid w:val="629E5BFD"/>
    <w:rsid w:val="62F12229"/>
    <w:rsid w:val="62F42FAE"/>
    <w:rsid w:val="63377C30"/>
    <w:rsid w:val="63894210"/>
    <w:rsid w:val="63A64DC2"/>
    <w:rsid w:val="63C210E6"/>
    <w:rsid w:val="63CD05A1"/>
    <w:rsid w:val="640C3E97"/>
    <w:rsid w:val="64436AB5"/>
    <w:rsid w:val="64681492"/>
    <w:rsid w:val="6491632F"/>
    <w:rsid w:val="64987EBA"/>
    <w:rsid w:val="649D616F"/>
    <w:rsid w:val="64A83900"/>
    <w:rsid w:val="64BB2CCB"/>
    <w:rsid w:val="64E8140A"/>
    <w:rsid w:val="65326F7C"/>
    <w:rsid w:val="65384140"/>
    <w:rsid w:val="6551131C"/>
    <w:rsid w:val="65714D38"/>
    <w:rsid w:val="65A13D29"/>
    <w:rsid w:val="65B412A5"/>
    <w:rsid w:val="65D95DCE"/>
    <w:rsid w:val="65EB5604"/>
    <w:rsid w:val="664C55A8"/>
    <w:rsid w:val="66501015"/>
    <w:rsid w:val="666B40A1"/>
    <w:rsid w:val="66886A01"/>
    <w:rsid w:val="668F353B"/>
    <w:rsid w:val="66A72C8A"/>
    <w:rsid w:val="66AD0C67"/>
    <w:rsid w:val="66EB31E7"/>
    <w:rsid w:val="66F70FB4"/>
    <w:rsid w:val="6714439F"/>
    <w:rsid w:val="674B49AB"/>
    <w:rsid w:val="676254A4"/>
    <w:rsid w:val="67976B83"/>
    <w:rsid w:val="679F491B"/>
    <w:rsid w:val="67A73E99"/>
    <w:rsid w:val="6804655B"/>
    <w:rsid w:val="6821710D"/>
    <w:rsid w:val="683B486A"/>
    <w:rsid w:val="686652F8"/>
    <w:rsid w:val="689C7120"/>
    <w:rsid w:val="68A910E0"/>
    <w:rsid w:val="68C746F7"/>
    <w:rsid w:val="68DB6590"/>
    <w:rsid w:val="6912299F"/>
    <w:rsid w:val="69572814"/>
    <w:rsid w:val="69C33672"/>
    <w:rsid w:val="69CE538D"/>
    <w:rsid w:val="69F16143"/>
    <w:rsid w:val="6A236852"/>
    <w:rsid w:val="6A7C4ACE"/>
    <w:rsid w:val="6AA803E7"/>
    <w:rsid w:val="6AEA1FE3"/>
    <w:rsid w:val="6B121794"/>
    <w:rsid w:val="6B427886"/>
    <w:rsid w:val="6B543355"/>
    <w:rsid w:val="6B707B2D"/>
    <w:rsid w:val="6BC13960"/>
    <w:rsid w:val="6BEB1F0C"/>
    <w:rsid w:val="6BF35C1A"/>
    <w:rsid w:val="6C5268E5"/>
    <w:rsid w:val="6C7227EB"/>
    <w:rsid w:val="6C924135"/>
    <w:rsid w:val="6CB06D3E"/>
    <w:rsid w:val="6CB9496E"/>
    <w:rsid w:val="6CC73039"/>
    <w:rsid w:val="6CD27E01"/>
    <w:rsid w:val="6D0843F7"/>
    <w:rsid w:val="6D2235AC"/>
    <w:rsid w:val="6D415E97"/>
    <w:rsid w:val="6D5128ED"/>
    <w:rsid w:val="6D8D7829"/>
    <w:rsid w:val="6DA442F1"/>
    <w:rsid w:val="6DD7226C"/>
    <w:rsid w:val="6E015DF0"/>
    <w:rsid w:val="6E02353D"/>
    <w:rsid w:val="6E333654"/>
    <w:rsid w:val="6E5974AE"/>
    <w:rsid w:val="6E6721D9"/>
    <w:rsid w:val="6E9E7C3E"/>
    <w:rsid w:val="6EA35485"/>
    <w:rsid w:val="6EB11298"/>
    <w:rsid w:val="6EB62985"/>
    <w:rsid w:val="6F060E0B"/>
    <w:rsid w:val="6F1E5084"/>
    <w:rsid w:val="6F304979"/>
    <w:rsid w:val="6F7D4C1F"/>
    <w:rsid w:val="6FD111A8"/>
    <w:rsid w:val="6FD917B7"/>
    <w:rsid w:val="6FE65590"/>
    <w:rsid w:val="6FE72470"/>
    <w:rsid w:val="6FF46A6B"/>
    <w:rsid w:val="700F1F41"/>
    <w:rsid w:val="70693723"/>
    <w:rsid w:val="708244C1"/>
    <w:rsid w:val="70E6151C"/>
    <w:rsid w:val="714125CE"/>
    <w:rsid w:val="716A68F6"/>
    <w:rsid w:val="71A37102"/>
    <w:rsid w:val="720A68CA"/>
    <w:rsid w:val="72936E59"/>
    <w:rsid w:val="72B435DA"/>
    <w:rsid w:val="72FF6166"/>
    <w:rsid w:val="73242BFE"/>
    <w:rsid w:val="732C6241"/>
    <w:rsid w:val="73897DD7"/>
    <w:rsid w:val="73A73AFE"/>
    <w:rsid w:val="73F96853"/>
    <w:rsid w:val="747B7BA5"/>
    <w:rsid w:val="747F3106"/>
    <w:rsid w:val="748A4618"/>
    <w:rsid w:val="74AE5ED3"/>
    <w:rsid w:val="74F65FDA"/>
    <w:rsid w:val="74F82FA3"/>
    <w:rsid w:val="75153B55"/>
    <w:rsid w:val="75452911"/>
    <w:rsid w:val="754937FF"/>
    <w:rsid w:val="75736ACE"/>
    <w:rsid w:val="75E51AE3"/>
    <w:rsid w:val="75ED7121"/>
    <w:rsid w:val="760204C9"/>
    <w:rsid w:val="76126652"/>
    <w:rsid w:val="76317556"/>
    <w:rsid w:val="7647585A"/>
    <w:rsid w:val="76565E30"/>
    <w:rsid w:val="7659086A"/>
    <w:rsid w:val="76916E59"/>
    <w:rsid w:val="76A22864"/>
    <w:rsid w:val="76B163FD"/>
    <w:rsid w:val="76F27835"/>
    <w:rsid w:val="7702030A"/>
    <w:rsid w:val="778576B9"/>
    <w:rsid w:val="77A6318B"/>
    <w:rsid w:val="77B43AFA"/>
    <w:rsid w:val="781C169F"/>
    <w:rsid w:val="783C0C7C"/>
    <w:rsid w:val="78504E72"/>
    <w:rsid w:val="78AF0EE4"/>
    <w:rsid w:val="78AF778B"/>
    <w:rsid w:val="78D646F6"/>
    <w:rsid w:val="78F745FE"/>
    <w:rsid w:val="790A14F7"/>
    <w:rsid w:val="791251E1"/>
    <w:rsid w:val="793622EC"/>
    <w:rsid w:val="794D0F04"/>
    <w:rsid w:val="796926C2"/>
    <w:rsid w:val="796C5D0E"/>
    <w:rsid w:val="79A14261"/>
    <w:rsid w:val="79F350B6"/>
    <w:rsid w:val="7A4B0C75"/>
    <w:rsid w:val="7A8D64B4"/>
    <w:rsid w:val="7AAD21FD"/>
    <w:rsid w:val="7AB20EB9"/>
    <w:rsid w:val="7AB23BF5"/>
    <w:rsid w:val="7AFE6E3A"/>
    <w:rsid w:val="7B002ED3"/>
    <w:rsid w:val="7B451E03"/>
    <w:rsid w:val="7B4A3CD7"/>
    <w:rsid w:val="7BA568E2"/>
    <w:rsid w:val="7BD94E15"/>
    <w:rsid w:val="7BDD2EF3"/>
    <w:rsid w:val="7BF42B7A"/>
    <w:rsid w:val="7BF81ADB"/>
    <w:rsid w:val="7C1E6611"/>
    <w:rsid w:val="7C23124E"/>
    <w:rsid w:val="7C422497"/>
    <w:rsid w:val="7C731F58"/>
    <w:rsid w:val="7C7750F6"/>
    <w:rsid w:val="7C790E6E"/>
    <w:rsid w:val="7C9C7162"/>
    <w:rsid w:val="7D4274B2"/>
    <w:rsid w:val="7D5C761D"/>
    <w:rsid w:val="7D644FF4"/>
    <w:rsid w:val="7D845D1C"/>
    <w:rsid w:val="7D89203A"/>
    <w:rsid w:val="7DAF6776"/>
    <w:rsid w:val="7DB020D4"/>
    <w:rsid w:val="7DC61F22"/>
    <w:rsid w:val="7DF759C8"/>
    <w:rsid w:val="7E0C73DF"/>
    <w:rsid w:val="7E236173"/>
    <w:rsid w:val="7E340930"/>
    <w:rsid w:val="7E386B07"/>
    <w:rsid w:val="7E470AF8"/>
    <w:rsid w:val="7E786F03"/>
    <w:rsid w:val="7EC23104"/>
    <w:rsid w:val="7EEC5082"/>
    <w:rsid w:val="7F482D79"/>
    <w:rsid w:val="7FD7282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qFormat="1" w:unhideWhenUsed="0" w:uiPriority="39"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iPriority="99"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99"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spacing w:line="360" w:lineRule="auto"/>
      <w:jc w:val="both"/>
    </w:pPr>
    <w:rPr>
      <w:rFonts w:ascii="Times New Roman" w:hAnsi="Times New Roman" w:eastAsia="宋体" w:cstheme="minorBidi"/>
      <w:kern w:val="2"/>
      <w:sz w:val="21"/>
      <w:szCs w:val="21"/>
      <w:lang w:val="en-US" w:eastAsia="zh-CN" w:bidi="ar-SA"/>
    </w:rPr>
  </w:style>
  <w:style w:type="paragraph" w:styleId="2">
    <w:name w:val="heading 1"/>
    <w:next w:val="1"/>
    <w:qFormat/>
    <w:uiPriority w:val="0"/>
    <w:pPr>
      <w:keepNext/>
      <w:keepLines/>
      <w:spacing w:before="100" w:beforeLines="100" w:beforeAutospacing="0" w:after="20" w:afterLines="0" w:afterAutospacing="0" w:line="360" w:lineRule="auto"/>
      <w:jc w:val="center"/>
      <w:outlineLvl w:val="0"/>
    </w:pPr>
    <w:rPr>
      <w:rFonts w:ascii="黑体" w:hAnsi="黑体" w:eastAsia="黑体" w:cs="黑体"/>
      <w:bCs/>
      <w:kern w:val="44"/>
      <w:sz w:val="28"/>
      <w:szCs w:val="28"/>
    </w:rPr>
  </w:style>
  <w:style w:type="paragraph" w:styleId="3">
    <w:name w:val="heading 2"/>
    <w:next w:val="1"/>
    <w:unhideWhenUsed/>
    <w:qFormat/>
    <w:uiPriority w:val="0"/>
    <w:pPr>
      <w:keepNext w:val="0"/>
      <w:keepLines w:val="0"/>
      <w:widowControl w:val="0"/>
      <w:spacing w:before="100" w:beforeLines="100" w:beforeAutospacing="0" w:after="100" w:afterLines="100" w:afterAutospacing="0" w:line="360" w:lineRule="auto"/>
      <w:jc w:val="center"/>
      <w:outlineLvl w:val="1"/>
    </w:pPr>
    <w:rPr>
      <w:rFonts w:ascii="Times New Roman" w:hAnsi="Times New Roman" w:eastAsia="黑体" w:cstheme="minorBidi"/>
      <w:sz w:val="21"/>
      <w:szCs w:val="21"/>
      <w:lang w:val="en-US" w:eastAsia="zh-CN"/>
    </w:rPr>
  </w:style>
  <w:style w:type="paragraph" w:styleId="4">
    <w:name w:val="heading 3"/>
    <w:basedOn w:val="1"/>
    <w:next w:val="1"/>
    <w:semiHidden/>
    <w:unhideWhenUsed/>
    <w:qFormat/>
    <w:uiPriority w:val="0"/>
    <w:pPr>
      <w:spacing w:before="0" w:beforeAutospacing="1" w:after="0" w:afterAutospacing="1"/>
      <w:jc w:val="left"/>
    </w:pPr>
    <w:rPr>
      <w:rFonts w:hint="eastAsia" w:ascii="宋体" w:hAnsi="宋体" w:eastAsia="宋体" w:cs="宋体"/>
      <w:b/>
      <w:bCs/>
      <w:kern w:val="0"/>
      <w:sz w:val="27"/>
      <w:szCs w:val="27"/>
      <w:lang w:val="en-US" w:eastAsia="zh-CN" w:bidi="ar"/>
    </w:rPr>
  </w:style>
  <w:style w:type="character" w:default="1" w:styleId="16">
    <w:name w:val="Default Paragraph Font"/>
    <w:semiHidden/>
    <w:qFormat/>
    <w:uiPriority w:val="0"/>
  </w:style>
  <w:style w:type="table" w:default="1" w:styleId="14">
    <w:name w:val="Normal Table"/>
    <w:autoRedefine/>
    <w:semiHidden/>
    <w:qFormat/>
    <w:uiPriority w:val="0"/>
    <w:tblPr>
      <w:tblCellMar>
        <w:top w:w="0" w:type="dxa"/>
        <w:left w:w="108" w:type="dxa"/>
        <w:bottom w:w="0" w:type="dxa"/>
        <w:right w:w="108" w:type="dxa"/>
      </w:tblCellMar>
    </w:tblPr>
  </w:style>
  <w:style w:type="paragraph" w:styleId="5">
    <w:name w:val="annotation text"/>
    <w:basedOn w:val="1"/>
    <w:qFormat/>
    <w:uiPriority w:val="0"/>
    <w:pPr>
      <w:jc w:val="left"/>
    </w:pPr>
    <w:rPr>
      <w:kern w:val="0"/>
      <w:sz w:val="20"/>
    </w:rPr>
  </w:style>
  <w:style w:type="paragraph" w:styleId="6">
    <w:name w:val="Body Text"/>
    <w:basedOn w:val="1"/>
    <w:qFormat/>
    <w:uiPriority w:val="0"/>
    <w:pPr>
      <w:spacing w:line="480" w:lineRule="auto"/>
    </w:pPr>
    <w:rPr>
      <w:sz w:val="24"/>
    </w:rPr>
  </w:style>
  <w:style w:type="paragraph" w:styleId="7">
    <w:name w:val="toc 3"/>
    <w:basedOn w:val="1"/>
    <w:next w:val="1"/>
    <w:qFormat/>
    <w:uiPriority w:val="39"/>
    <w:pPr>
      <w:tabs>
        <w:tab w:val="right" w:leader="dot" w:pos="9242"/>
      </w:tabs>
      <w:ind w:firstLine="210" w:firstLineChars="100"/>
      <w:jc w:val="left"/>
    </w:pPr>
    <w:rPr>
      <w:sz w:val="21"/>
    </w:rPr>
  </w:style>
  <w:style w:type="paragraph" w:styleId="8">
    <w:name w:val="footer"/>
    <w:basedOn w:val="1"/>
    <w:unhideWhenUsed/>
    <w:qFormat/>
    <w:uiPriority w:val="99"/>
    <w:pPr>
      <w:tabs>
        <w:tab w:val="center" w:pos="4153"/>
        <w:tab w:val="right" w:pos="8306"/>
      </w:tabs>
      <w:snapToGrid w:val="0"/>
      <w:jc w:val="left"/>
    </w:pPr>
    <w:rPr>
      <w:sz w:val="18"/>
      <w:szCs w:val="18"/>
    </w:rPr>
  </w:style>
  <w:style w:type="paragraph" w:styleId="9">
    <w:name w:val="header"/>
    <w:basedOn w:val="1"/>
    <w:unhideWhenUsed/>
    <w:qFormat/>
    <w:uiPriority w:val="99"/>
    <w:pPr>
      <w:pBdr>
        <w:bottom w:val="single" w:color="auto" w:sz="6" w:space="1"/>
      </w:pBdr>
      <w:tabs>
        <w:tab w:val="center" w:pos="4153"/>
        <w:tab w:val="right" w:pos="8306"/>
      </w:tabs>
      <w:snapToGrid w:val="0"/>
      <w:jc w:val="center"/>
    </w:pPr>
    <w:rPr>
      <w:sz w:val="18"/>
      <w:szCs w:val="18"/>
    </w:rPr>
  </w:style>
  <w:style w:type="paragraph" w:styleId="10">
    <w:name w:val="toc 1"/>
    <w:next w:val="1"/>
    <w:qFormat/>
    <w:uiPriority w:val="39"/>
    <w:pPr>
      <w:tabs>
        <w:tab w:val="right" w:leader="dot" w:pos="9242"/>
      </w:tabs>
      <w:spacing w:beforeLines="0" w:afterLines="0" w:line="288" w:lineRule="auto"/>
      <w:jc w:val="left"/>
    </w:pPr>
    <w:rPr>
      <w:rFonts w:ascii="Times New Roman" w:hAnsi="Times New Roman" w:eastAsia="宋体" w:cs="Times New Roman"/>
      <w:sz w:val="21"/>
      <w:szCs w:val="21"/>
    </w:rPr>
  </w:style>
  <w:style w:type="paragraph" w:styleId="11">
    <w:name w:val="toc 2"/>
    <w:next w:val="1"/>
    <w:qFormat/>
    <w:uiPriority w:val="39"/>
    <w:pPr>
      <w:tabs>
        <w:tab w:val="right" w:leader="dot" w:pos="9242"/>
      </w:tabs>
      <w:spacing w:line="288" w:lineRule="auto"/>
      <w:ind w:firstLine="1044" w:firstLineChars="200"/>
    </w:pPr>
    <w:rPr>
      <w:rFonts w:ascii="Times New Roman" w:hAnsi="Times New Roman" w:eastAsia="宋体" w:cs="Times New Roman"/>
      <w:sz w:val="21"/>
      <w:szCs w:val="21"/>
    </w:rPr>
  </w:style>
  <w:style w:type="paragraph" w:styleId="12">
    <w:name w:val="Normal (Web)"/>
    <w:basedOn w:val="1"/>
    <w:qFormat/>
    <w:uiPriority w:val="0"/>
    <w:rPr>
      <w:sz w:val="24"/>
    </w:rPr>
  </w:style>
  <w:style w:type="paragraph" w:styleId="13">
    <w:name w:val="Title"/>
    <w:basedOn w:val="1"/>
    <w:next w:val="1"/>
    <w:qFormat/>
    <w:uiPriority w:val="0"/>
    <w:pPr>
      <w:spacing w:before="240" w:after="60"/>
      <w:jc w:val="center"/>
      <w:outlineLvl w:val="0"/>
    </w:pPr>
    <w:rPr>
      <w:rFonts w:ascii="Cambria" w:hAnsi="Cambria"/>
      <w:b/>
      <w:bCs/>
      <w:sz w:val="32"/>
      <w:szCs w:val="32"/>
    </w:rPr>
  </w:style>
  <w:style w:type="table" w:styleId="15">
    <w:name w:val="Table Grid"/>
    <w:basedOn w:val="1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7">
    <w:name w:val="Hyperlink"/>
    <w:qFormat/>
    <w:uiPriority w:val="99"/>
    <w:rPr>
      <w:color w:val="0000FF"/>
      <w:spacing w:val="0"/>
      <w:w w:val="100"/>
      <w:szCs w:val="21"/>
      <w:u w:val="single"/>
      <w:lang w:val="en-US" w:eastAsia="zh-CN"/>
    </w:rPr>
  </w:style>
  <w:style w:type="character" w:styleId="18">
    <w:name w:val="annotation reference"/>
    <w:qFormat/>
    <w:uiPriority w:val="99"/>
    <w:rPr>
      <w:sz w:val="21"/>
      <w:szCs w:val="21"/>
    </w:rPr>
  </w:style>
  <w:style w:type="paragraph" w:customStyle="1" w:styleId="19">
    <w:name w:val="段"/>
    <w:qFormat/>
    <w:uiPriority w:val="0"/>
    <w:pPr>
      <w:tabs>
        <w:tab w:val="center" w:pos="4201"/>
        <w:tab w:val="right" w:leader="dot" w:pos="9298"/>
      </w:tabs>
      <w:autoSpaceDE w:val="0"/>
      <w:autoSpaceDN w:val="0"/>
      <w:ind w:firstLine="420" w:firstLineChars="200"/>
      <w:jc w:val="both"/>
    </w:pPr>
    <w:rPr>
      <w:rFonts w:ascii="宋体" w:hAnsiTheme="minorHAnsi" w:eastAsiaTheme="minorEastAsia" w:cstheme="minorBidi"/>
      <w:kern w:val="2"/>
      <w:sz w:val="21"/>
      <w:szCs w:val="22"/>
      <w:lang w:val="en-US" w:eastAsia="zh-CN" w:bidi="ar-SA"/>
    </w:rPr>
  </w:style>
  <w:style w:type="paragraph" w:customStyle="1" w:styleId="20">
    <w:name w:val="章标题"/>
    <w:next w:val="19"/>
    <w:qFormat/>
    <w:uiPriority w:val="0"/>
    <w:pPr>
      <w:numPr>
        <w:ilvl w:val="-1"/>
        <w:numId w:val="0"/>
      </w:numPr>
      <w:spacing w:before="0" w:beforeLines="100" w:after="0" w:afterLines="100"/>
      <w:ind w:left="0" w:leftChars="0" w:firstLine="0" w:firstLineChars="0"/>
      <w:jc w:val="left"/>
      <w:outlineLvl w:val="1"/>
    </w:pPr>
    <w:rPr>
      <w:rFonts w:ascii="黑体" w:hAnsi="黑体" w:eastAsia="黑体" w:cs="Times New Roman"/>
      <w:sz w:val="28"/>
      <w:lang w:val="en-US" w:eastAsia="zh-CN" w:bidi="ar-SA"/>
    </w:rPr>
  </w:style>
  <w:style w:type="paragraph" w:customStyle="1" w:styleId="21">
    <w:name w:val="正文1"/>
    <w:autoRedefine/>
    <w:qFormat/>
    <w:uiPriority w:val="0"/>
    <w:pPr>
      <w:adjustRightInd/>
      <w:spacing w:line="360" w:lineRule="auto"/>
      <w:jc w:val="both"/>
    </w:pPr>
    <w:rPr>
      <w:rFonts w:ascii="Times New Roman" w:hAnsi="Times New Roman" w:eastAsia="宋体" w:cs="Times New Roman"/>
      <w:color w:val="000000"/>
      <w:kern w:val="0"/>
      <w:sz w:val="21"/>
      <w:szCs w:val="21"/>
    </w:rPr>
  </w:style>
  <w:style w:type="paragraph" w:customStyle="1" w:styleId="22">
    <w:name w:val="一级条标题"/>
    <w:next w:val="19"/>
    <w:qFormat/>
    <w:uiPriority w:val="0"/>
    <w:pPr>
      <w:numPr>
        <w:ilvl w:val="1"/>
        <w:numId w:val="1"/>
      </w:numPr>
      <w:spacing w:before="50" w:beforeLines="50" w:after="50" w:afterLines="50"/>
      <w:ind w:left="0"/>
      <w:jc w:val="center"/>
      <w:outlineLvl w:val="2"/>
    </w:pPr>
    <w:rPr>
      <w:rFonts w:ascii="Times New Roman" w:hAnsi="Times New Roman" w:eastAsia="宋体" w:cs="Times New Roman"/>
      <w:sz w:val="21"/>
      <w:szCs w:val="21"/>
      <w:lang w:val="en-US" w:eastAsia="zh-CN" w:bidi="ar-SA"/>
    </w:rPr>
  </w:style>
  <w:style w:type="paragraph" w:customStyle="1" w:styleId="23">
    <w:name w:val="正文内容样式"/>
    <w:next w:val="24"/>
    <w:qFormat/>
    <w:uiPriority w:val="0"/>
    <w:pPr>
      <w:spacing w:line="360" w:lineRule="auto"/>
      <w:ind w:firstLine="200" w:firstLineChars="200"/>
      <w:jc w:val="both"/>
    </w:pPr>
    <w:rPr>
      <w:rFonts w:ascii="Arial" w:hAnsi="Arial" w:eastAsia="宋体" w:cstheme="minorBidi"/>
      <w:color w:val="000000"/>
      <w:kern w:val="2"/>
      <w:sz w:val="24"/>
      <w:szCs w:val="28"/>
      <w:lang w:val="en-US" w:eastAsia="zh-CN" w:bidi="ar-SA"/>
    </w:rPr>
  </w:style>
  <w:style w:type="paragraph" w:customStyle="1" w:styleId="24">
    <w:name w:val="报告正文"/>
    <w:basedOn w:val="1"/>
    <w:qFormat/>
    <w:uiPriority w:val="0"/>
    <w:pPr>
      <w:widowControl/>
      <w:spacing w:line="500" w:lineRule="exact"/>
      <w:ind w:firstLine="600"/>
      <w:jc w:val="left"/>
    </w:pPr>
    <w:rPr>
      <w:rFonts w:ascii="宋体" w:hAnsi="宋体" w:eastAsiaTheme="minorEastAsia" w:cstheme="minorBidi"/>
      <w:color w:val="000000"/>
      <w:sz w:val="28"/>
      <w:szCs w:val="28"/>
    </w:rPr>
  </w:style>
  <w:style w:type="paragraph" w:customStyle="1" w:styleId="25">
    <w:name w:val="第四级标题"/>
    <w:next w:val="24"/>
    <w:qFormat/>
    <w:uiPriority w:val="0"/>
    <w:pPr>
      <w:numPr>
        <w:ilvl w:val="3"/>
        <w:numId w:val="2"/>
      </w:numPr>
      <w:spacing w:line="360" w:lineRule="auto"/>
      <w:outlineLvl w:val="3"/>
    </w:pPr>
    <w:rPr>
      <w:rFonts w:ascii="Arial" w:hAnsi="Arial" w:eastAsia="宋体" w:cs="Times New Roman"/>
      <w:kern w:val="2"/>
      <w:sz w:val="24"/>
      <w:szCs w:val="28"/>
      <w:lang w:val="en-US" w:eastAsia="zh-CN" w:bidi="ar-SA"/>
    </w:rPr>
  </w:style>
  <w:style w:type="paragraph" w:customStyle="1" w:styleId="26">
    <w:name w:val="第三级标题"/>
    <w:next w:val="24"/>
    <w:qFormat/>
    <w:uiPriority w:val="0"/>
    <w:pPr>
      <w:numPr>
        <w:ilvl w:val="2"/>
        <w:numId w:val="2"/>
      </w:numPr>
      <w:spacing w:before="200" w:after="200"/>
      <w:outlineLvl w:val="2"/>
    </w:pPr>
    <w:rPr>
      <w:rFonts w:ascii="Arial" w:hAnsi="Arial" w:eastAsia="宋体" w:cs="Times New Roman"/>
      <w:b/>
      <w:bCs/>
      <w:kern w:val="2"/>
      <w:sz w:val="24"/>
      <w:szCs w:val="28"/>
      <w:lang w:val="en-US" w:eastAsia="zh-CN" w:bidi="ar-SA"/>
    </w:rPr>
  </w:style>
  <w:style w:type="paragraph" w:customStyle="1" w:styleId="27">
    <w:name w:val="注×："/>
    <w:qFormat/>
    <w:uiPriority w:val="0"/>
    <w:pPr>
      <w:widowControl w:val="0"/>
      <w:numPr>
        <w:ilvl w:val="0"/>
        <w:numId w:val="3"/>
      </w:numPr>
      <w:tabs>
        <w:tab w:val="left" w:pos="630"/>
      </w:tabs>
      <w:autoSpaceDE w:val="0"/>
      <w:autoSpaceDN w:val="0"/>
      <w:jc w:val="both"/>
    </w:pPr>
    <w:rPr>
      <w:rFonts w:ascii="宋体" w:hAnsi="Calibri" w:eastAsia="宋体" w:cs="Times New Roman"/>
      <w:sz w:val="18"/>
      <w:lang w:val="en-US" w:eastAsia="zh-CN" w:bidi="ar-SA"/>
    </w:rPr>
  </w:style>
  <w:style w:type="paragraph" w:customStyle="1" w:styleId="28">
    <w:name w:val="p0"/>
    <w:basedOn w:val="1"/>
    <w:qFormat/>
    <w:uiPriority w:val="0"/>
    <w:pPr>
      <w:widowControl/>
    </w:pPr>
    <w:rPr>
      <w:rFonts w:ascii="宋体" w:hAnsi="宋体" w:eastAsia="宋体" w:cs="宋体"/>
      <w:spacing w:val="20"/>
      <w:kern w:val="0"/>
      <w:szCs w:val="21"/>
    </w:r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footer" Target="footer2.xml"/><Relationship Id="rId7" Type="http://schemas.openxmlformats.org/officeDocument/2006/relationships/header" Target="header2.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numbering" Target="numbering.xml"/><Relationship Id="rId12" Type="http://schemas.openxmlformats.org/officeDocument/2006/relationships/customXml" Target="../customXml/item1.xml"/><Relationship Id="rId11" Type="http://schemas.openxmlformats.org/officeDocument/2006/relationships/theme" Target="theme/theme1.xml"/><Relationship Id="rId10" Type="http://schemas.openxmlformats.org/officeDocument/2006/relationships/footer" Target="footer4.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29</Pages>
  <Words>6763</Words>
  <Characters>7561</Characters>
  <Lines>0</Lines>
  <Paragraphs>0</Paragraphs>
  <TotalTime>6</TotalTime>
  <ScaleCrop>false</ScaleCrop>
  <LinksUpToDate>false</LinksUpToDate>
  <CharactersWithSpaces>7853</CharactersWithSpaces>
  <Application>WPS Office_12.1.0.20305_F1E327BC-269C-435d-A152-05C5408002CA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2024-09-26T06:32:00Z</dcterms:created>
  <dc:creator>houting</dc:creator>
  <cp:lastModifiedBy>houting</cp:lastModifiedBy>
  <dcterms:modified xsi:type="dcterms:W3CDTF">2026-10-16T01:40:51Z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2052-12.1.0.20305</vt:lpwstr>
  </property>
  <property fmtid="{D5CDD505-2E9C-101B-9397-08002B2CF9AE}" pid="3" name="ICV">
    <vt:lpwstr>9616F2DEC5EE4B3EA102E91FBD9B532A_13</vt:lpwstr>
  </property>
  <property fmtid="{D5CDD505-2E9C-101B-9397-08002B2CF9AE}" pid="4" name="KSOTemplateDocerSaveRecord">
    <vt:lpwstr>eyJoZGlkIjoiMzRmNGI0YzYzYjQ0MmFlYzI5NWU5NDY0ZDM3ODA3MmYiLCJ1c2VySWQiOiI0NjIzODg3NDQifQ==</vt:lpwstr>
  </property>
</Properties>
</file>